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5950" w14:textId="77777777" w:rsidR="00634BDB" w:rsidRDefault="00330F02" w:rsidP="00026B53">
      <w:pPr>
        <w:pStyle w:val="BodyText"/>
        <w:ind w:left="0"/>
        <w:jc w:val="center"/>
        <w:rPr>
          <w:rFonts w:ascii="Times New Roman"/>
          <w:sz w:val="20"/>
        </w:rPr>
      </w:pPr>
      <w:r>
        <w:rPr>
          <w:rFonts w:ascii="Times New Roman"/>
          <w:noProof/>
          <w:sz w:val="20"/>
          <w:lang w:bidi="ar-SA"/>
        </w:rPr>
        <w:drawing>
          <wp:inline distT="0" distB="0" distL="0" distR="0" wp14:anchorId="721926B1" wp14:editId="49EE57E0">
            <wp:extent cx="1751457" cy="1179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Finance Exchange (PFX) Sit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1699" cy="1186752"/>
                    </a:xfrm>
                    <a:prstGeom prst="rect">
                      <a:avLst/>
                    </a:prstGeom>
                  </pic:spPr>
                </pic:pic>
              </a:graphicData>
            </a:graphic>
          </wp:inline>
        </w:drawing>
      </w:r>
    </w:p>
    <w:p w14:paraId="17C53293" w14:textId="77777777" w:rsidR="00634BDB" w:rsidRDefault="00634BDB">
      <w:pPr>
        <w:pStyle w:val="BodyText"/>
        <w:spacing w:before="9"/>
        <w:ind w:left="0"/>
        <w:jc w:val="left"/>
        <w:rPr>
          <w:rFonts w:ascii="Times New Roman"/>
          <w:sz w:val="8"/>
        </w:rPr>
      </w:pPr>
    </w:p>
    <w:p w14:paraId="0331E315" w14:textId="77777777" w:rsidR="00026B53" w:rsidRDefault="00497CF4" w:rsidP="00026B53">
      <w:pPr>
        <w:pStyle w:val="Heading1"/>
        <w:ind w:left="0" w:right="830" w:firstLine="720"/>
        <w:rPr>
          <w:color w:val="385522"/>
          <w:sz w:val="28"/>
          <w:szCs w:val="28"/>
        </w:rPr>
      </w:pPr>
      <w:r w:rsidRPr="00497CF4">
        <w:rPr>
          <w:color w:val="385522"/>
          <w:sz w:val="28"/>
          <w:szCs w:val="28"/>
        </w:rPr>
        <w:t>MEDIA BACKGROUNDER</w:t>
      </w:r>
    </w:p>
    <w:p w14:paraId="2BE16084" w14:textId="64A6FC6B" w:rsidR="00AF7C3D" w:rsidRDefault="003B62BC" w:rsidP="00466767">
      <w:pPr>
        <w:pStyle w:val="BodyText"/>
        <w:spacing w:after="120"/>
        <w:ind w:left="0" w:right="301"/>
        <w:jc w:val="center"/>
        <w:rPr>
          <w:rFonts w:ascii="Times New Roman" w:hAnsi="Times New Roman" w:cs="Times New Roman"/>
          <w:b/>
          <w:i/>
        </w:rPr>
      </w:pPr>
      <w:r>
        <w:rPr>
          <w:rFonts w:ascii="Times New Roman" w:hAnsi="Times New Roman" w:cs="Times New Roman"/>
          <w:b/>
          <w:i/>
        </w:rPr>
        <w:t>(document in .doc format for editor</w:t>
      </w:r>
      <w:r w:rsidR="00466767">
        <w:rPr>
          <w:rFonts w:ascii="Times New Roman" w:hAnsi="Times New Roman" w:cs="Times New Roman"/>
          <w:b/>
          <w:i/>
        </w:rPr>
        <w:t>s’</w:t>
      </w:r>
      <w:r>
        <w:rPr>
          <w:rFonts w:ascii="Times New Roman" w:hAnsi="Times New Roman" w:cs="Times New Roman"/>
          <w:b/>
          <w:i/>
        </w:rPr>
        <w:t xml:space="preserve"> </w:t>
      </w:r>
      <w:r w:rsidR="007F26A0">
        <w:rPr>
          <w:rFonts w:ascii="Times New Roman" w:hAnsi="Times New Roman" w:cs="Times New Roman"/>
          <w:b/>
          <w:i/>
        </w:rPr>
        <w:t>convenience</w:t>
      </w:r>
      <w:r w:rsidR="00327268">
        <w:rPr>
          <w:rFonts w:ascii="Times New Roman" w:hAnsi="Times New Roman" w:cs="Times New Roman"/>
          <w:b/>
          <w:i/>
        </w:rPr>
        <w:t xml:space="preserve">.  </w:t>
      </w:r>
      <w:r w:rsidR="00327268" w:rsidRPr="00EA2B7E">
        <w:rPr>
          <w:rFonts w:ascii="Times New Roman" w:hAnsi="Times New Roman" w:cs="Times New Roman"/>
          <w:b/>
          <w:i/>
          <w:color w:val="4F6228" w:themeColor="accent3" w:themeShade="80"/>
        </w:rPr>
        <w:t>Please credit PFX</w:t>
      </w:r>
      <w:r w:rsidR="00CD77A9" w:rsidRPr="00EA2B7E">
        <w:rPr>
          <w:rFonts w:ascii="Times New Roman" w:hAnsi="Times New Roman" w:cs="Times New Roman"/>
          <w:b/>
          <w:i/>
          <w:color w:val="4F6228" w:themeColor="accent3" w:themeShade="80"/>
        </w:rPr>
        <w:t xml:space="preserve"> content </w:t>
      </w:r>
      <w:r w:rsidR="00DB0D81">
        <w:rPr>
          <w:rFonts w:ascii="Times New Roman" w:hAnsi="Times New Roman" w:cs="Times New Roman"/>
          <w:b/>
          <w:i/>
          <w:color w:val="4F6228" w:themeColor="accent3" w:themeShade="80"/>
        </w:rPr>
        <w:t xml:space="preserve">where </w:t>
      </w:r>
      <w:r w:rsidR="00CD77A9" w:rsidRPr="00EA2B7E">
        <w:rPr>
          <w:rFonts w:ascii="Times New Roman" w:hAnsi="Times New Roman" w:cs="Times New Roman"/>
          <w:b/>
          <w:i/>
          <w:color w:val="4F6228" w:themeColor="accent3" w:themeShade="80"/>
        </w:rPr>
        <w:t>used</w:t>
      </w:r>
      <w:r>
        <w:rPr>
          <w:rFonts w:ascii="Times New Roman" w:hAnsi="Times New Roman" w:cs="Times New Roman"/>
          <w:b/>
          <w:i/>
        </w:rPr>
        <w:t>)</w:t>
      </w:r>
    </w:p>
    <w:p w14:paraId="50A17DEE" w14:textId="057B2C4F" w:rsidR="00637D7D" w:rsidRDefault="00637D7D" w:rsidP="00C316A2">
      <w:pPr>
        <w:pStyle w:val="BodyText"/>
        <w:spacing w:after="120"/>
        <w:ind w:left="0" w:right="299"/>
        <w:jc w:val="center"/>
        <w:rPr>
          <w:b/>
          <w:bCs/>
        </w:rPr>
      </w:pPr>
      <w:r w:rsidRPr="00637D7D">
        <w:rPr>
          <w:b/>
          <w:bCs/>
        </w:rPr>
        <w:t>PFX IS A</w:t>
      </w:r>
      <w:r w:rsidR="00BA082F">
        <w:rPr>
          <w:b/>
          <w:bCs/>
        </w:rPr>
        <w:t xml:space="preserve"> </w:t>
      </w:r>
      <w:r w:rsidRPr="00637D7D">
        <w:rPr>
          <w:b/>
          <w:bCs/>
        </w:rPr>
        <w:t xml:space="preserve">CLOSED PRIVATE CAPITAL MARKET.  </w:t>
      </w:r>
    </w:p>
    <w:p w14:paraId="1F936EBD" w14:textId="4CE5F4D0" w:rsidR="00637D7D" w:rsidRPr="00637D7D" w:rsidRDefault="00637D7D" w:rsidP="00C316A2">
      <w:pPr>
        <w:pStyle w:val="BodyText"/>
        <w:spacing w:after="120"/>
        <w:ind w:left="0" w:right="299"/>
        <w:jc w:val="center"/>
        <w:rPr>
          <w:b/>
          <w:bCs/>
        </w:rPr>
      </w:pPr>
      <w:r w:rsidRPr="00637D7D">
        <w:rPr>
          <w:b/>
          <w:bCs/>
        </w:rPr>
        <w:t xml:space="preserve">NO IDENTIFYING DATA </w:t>
      </w:r>
      <w:r w:rsidR="001065A3">
        <w:rPr>
          <w:b/>
          <w:bCs/>
        </w:rPr>
        <w:t xml:space="preserve">ON </w:t>
      </w:r>
      <w:r w:rsidR="00505A6C">
        <w:rPr>
          <w:b/>
          <w:bCs/>
        </w:rPr>
        <w:t>INVESTORS</w:t>
      </w:r>
      <w:r w:rsidR="001065A3">
        <w:rPr>
          <w:b/>
          <w:bCs/>
        </w:rPr>
        <w:t xml:space="preserve"> OR PROJECTS </w:t>
      </w:r>
      <w:r w:rsidRPr="00637D7D">
        <w:rPr>
          <w:b/>
          <w:bCs/>
        </w:rPr>
        <w:t>IS AVAILABLE TO THE PUBLIC DOMAIN</w:t>
      </w:r>
    </w:p>
    <w:p w14:paraId="1EAFA148" w14:textId="4B9BAB76" w:rsidR="00637D7D" w:rsidRDefault="00637D7D" w:rsidP="00C316A2">
      <w:pPr>
        <w:pStyle w:val="BodyText"/>
        <w:spacing w:after="120"/>
        <w:ind w:left="0" w:right="299"/>
        <w:jc w:val="center"/>
      </w:pPr>
      <w:r>
        <w:t>+</w:t>
      </w:r>
    </w:p>
    <w:p w14:paraId="771E3CF9" w14:textId="52448D71" w:rsidR="00C61E39" w:rsidRPr="00C61E39" w:rsidRDefault="00C61E39" w:rsidP="00026B53">
      <w:pPr>
        <w:pStyle w:val="BodyText"/>
        <w:ind w:left="0" w:right="299"/>
        <w:rPr>
          <w:b/>
          <w:bCs/>
        </w:rPr>
      </w:pPr>
      <w:r w:rsidRPr="00C61E39">
        <w:rPr>
          <w:b/>
          <w:bCs/>
        </w:rPr>
        <w:t>Project Finance: Definition</w:t>
      </w:r>
      <w:r w:rsidR="00783D48">
        <w:rPr>
          <w:b/>
          <w:bCs/>
        </w:rPr>
        <w:t>.</w:t>
      </w:r>
    </w:p>
    <w:p w14:paraId="11934B55" w14:textId="55B3577F" w:rsidR="00993A24" w:rsidRDefault="00993A24" w:rsidP="00993A24">
      <w:pPr>
        <w:spacing w:after="120"/>
        <w:jc w:val="left"/>
        <w:rPr>
          <w:rFonts w:cstheme="minorHAnsi"/>
          <w:sz w:val="24"/>
          <w:szCs w:val="24"/>
          <w:shd w:val="clear" w:color="auto" w:fill="FFFFFF"/>
        </w:rPr>
      </w:pPr>
      <w:r w:rsidRPr="00DD0A33">
        <w:rPr>
          <w:rFonts w:cstheme="minorHAnsi"/>
          <w:sz w:val="24"/>
          <w:szCs w:val="24"/>
          <w:shd w:val="clear" w:color="auto" w:fill="FFFFFF"/>
        </w:rPr>
        <w:t xml:space="preserve">Universities (and Wikipedia) still teach </w:t>
      </w:r>
      <w:r>
        <w:rPr>
          <w:rFonts w:cstheme="minorHAnsi"/>
          <w:sz w:val="24"/>
          <w:szCs w:val="24"/>
          <w:shd w:val="clear" w:color="auto" w:fill="FFFFFF"/>
        </w:rPr>
        <w:t xml:space="preserve">the </w:t>
      </w:r>
      <w:r w:rsidRPr="00DD0A33">
        <w:rPr>
          <w:rFonts w:cstheme="minorHAnsi"/>
          <w:sz w:val="24"/>
          <w:szCs w:val="24"/>
          <w:shd w:val="clear" w:color="auto" w:fill="FFFFFF"/>
        </w:rPr>
        <w:t xml:space="preserve">‘project finance’ </w:t>
      </w:r>
      <w:r>
        <w:rPr>
          <w:rFonts w:cstheme="minorHAnsi"/>
          <w:sz w:val="24"/>
          <w:szCs w:val="24"/>
          <w:shd w:val="clear" w:color="auto" w:fill="FFFFFF"/>
        </w:rPr>
        <w:t xml:space="preserve">structure </w:t>
      </w:r>
      <w:r w:rsidRPr="00DD0A33">
        <w:rPr>
          <w:rFonts w:cstheme="minorHAnsi"/>
          <w:sz w:val="24"/>
          <w:szCs w:val="24"/>
          <w:shd w:val="clear" w:color="auto" w:fill="FFFFFF"/>
        </w:rPr>
        <w:t xml:space="preserve">as if nothing has changed since it was first conceived </w:t>
      </w:r>
      <w:r w:rsidR="00306216">
        <w:rPr>
          <w:rFonts w:cstheme="minorHAnsi"/>
          <w:sz w:val="24"/>
          <w:szCs w:val="24"/>
          <w:shd w:val="clear" w:color="auto" w:fill="FFFFFF"/>
        </w:rPr>
        <w:t xml:space="preserve">back in the 1950’s </w:t>
      </w:r>
      <w:r w:rsidRPr="00DD0A33">
        <w:rPr>
          <w:rFonts w:cstheme="minorHAnsi"/>
          <w:sz w:val="24"/>
          <w:szCs w:val="24"/>
          <w:shd w:val="clear" w:color="auto" w:fill="FFFFFF"/>
        </w:rPr>
        <w:t xml:space="preserve">by top-tier financial institutions </w:t>
      </w:r>
      <w:r>
        <w:rPr>
          <w:rFonts w:cstheme="minorHAnsi"/>
          <w:sz w:val="24"/>
          <w:szCs w:val="24"/>
          <w:shd w:val="clear" w:color="auto" w:fill="FFFFFF"/>
        </w:rPr>
        <w:t>for ‘</w:t>
      </w:r>
      <w:r w:rsidRPr="00DD0A33">
        <w:rPr>
          <w:rFonts w:cstheme="minorHAnsi"/>
          <w:i/>
          <w:iCs/>
          <w:sz w:val="24"/>
          <w:szCs w:val="24"/>
          <w:shd w:val="clear" w:color="auto" w:fill="FFFFFF"/>
        </w:rPr>
        <w:t>…the long-term financing of infrastructure and industrial projects based upon the projected cash flows of the project rather than the balance sheets of its sponsors’</w:t>
      </w:r>
      <w:r w:rsidRPr="00DD0A33">
        <w:rPr>
          <w:rFonts w:cstheme="minorHAnsi"/>
          <w:sz w:val="24"/>
          <w:szCs w:val="24"/>
          <w:shd w:val="clear" w:color="auto" w:fill="FFFFFF"/>
        </w:rPr>
        <w:t>. </w:t>
      </w:r>
    </w:p>
    <w:p w14:paraId="3EC6AE8E" w14:textId="3476D106" w:rsidR="008B7E00" w:rsidRDefault="008B7E00" w:rsidP="008B7E00">
      <w:pPr>
        <w:spacing w:after="120"/>
        <w:jc w:val="left"/>
        <w:rPr>
          <w:rFonts w:cstheme="minorHAnsi"/>
          <w:sz w:val="24"/>
          <w:szCs w:val="24"/>
          <w:shd w:val="clear" w:color="auto" w:fill="FFFFFF"/>
        </w:rPr>
      </w:pPr>
      <w:r>
        <w:rPr>
          <w:rFonts w:cstheme="minorHAnsi"/>
          <w:sz w:val="24"/>
          <w:szCs w:val="24"/>
          <w:shd w:val="clear" w:color="auto" w:fill="FFFFFF"/>
        </w:rPr>
        <w:t xml:space="preserve">In fact, over many decades, it has evolved far away from and bears no relation to those origins.  Project finance can now be simply defined as: </w:t>
      </w:r>
      <w:r>
        <w:rPr>
          <w:rFonts w:cstheme="minorHAnsi"/>
          <w:i/>
          <w:iCs/>
          <w:sz w:val="24"/>
          <w:szCs w:val="24"/>
          <w:shd w:val="clear" w:color="auto" w:fill="FFFFFF"/>
        </w:rPr>
        <w:t>'Investment predicated on the track record and financial stability of whoever is contracted to buy the output from the built project, with those same criteria applying to contractors and other counterparties to the project</w:t>
      </w:r>
      <w:r>
        <w:rPr>
          <w:rFonts w:cstheme="minorHAnsi"/>
          <w:sz w:val="24"/>
          <w:szCs w:val="24"/>
          <w:shd w:val="clear" w:color="auto" w:fill="FFFFFF"/>
        </w:rPr>
        <w:t xml:space="preserve">'. This definition overrides the assets </w:t>
      </w:r>
      <w:r w:rsidR="00CD77A9">
        <w:rPr>
          <w:rFonts w:cstheme="minorHAnsi"/>
          <w:sz w:val="24"/>
          <w:szCs w:val="24"/>
          <w:shd w:val="clear" w:color="auto" w:fill="FFFFFF"/>
        </w:rPr>
        <w:t>and</w:t>
      </w:r>
      <w:r>
        <w:rPr>
          <w:rFonts w:cstheme="minorHAnsi"/>
          <w:sz w:val="24"/>
          <w:szCs w:val="24"/>
          <w:shd w:val="clear" w:color="auto" w:fill="FFFFFF"/>
        </w:rPr>
        <w:t xml:space="preserve"> balance sheet of the project principals be they public or private sector. </w:t>
      </w:r>
    </w:p>
    <w:p w14:paraId="3A7FC371" w14:textId="56EBDA9A" w:rsidR="00A871E5" w:rsidRPr="00A871E5" w:rsidRDefault="00993A24" w:rsidP="00A871E5">
      <w:pPr>
        <w:spacing w:after="120"/>
        <w:jc w:val="left"/>
        <w:rPr>
          <w:sz w:val="24"/>
          <w:szCs w:val="24"/>
        </w:rPr>
      </w:pPr>
      <w:r w:rsidRPr="00DD0A33">
        <w:rPr>
          <w:rFonts w:cstheme="minorHAnsi"/>
          <w:sz w:val="24"/>
          <w:szCs w:val="24"/>
          <w:shd w:val="clear" w:color="auto" w:fill="FFFFFF"/>
        </w:rPr>
        <w:t>Now, this vastly evolved structure</w:t>
      </w:r>
      <w:r>
        <w:rPr>
          <w:rFonts w:cstheme="minorHAnsi"/>
          <w:sz w:val="24"/>
          <w:szCs w:val="24"/>
          <w:shd w:val="clear" w:color="auto" w:fill="FFFFFF"/>
        </w:rPr>
        <w:t>,</w:t>
      </w:r>
      <w:r w:rsidRPr="00DD0A33">
        <w:rPr>
          <w:rFonts w:cstheme="minorHAnsi"/>
          <w:sz w:val="24"/>
          <w:szCs w:val="24"/>
          <w:shd w:val="clear" w:color="auto" w:fill="FFFFFF"/>
        </w:rPr>
        <w:t xml:space="preserve"> powered overwhelmingly by </w:t>
      </w:r>
      <w:r w:rsidR="00654333">
        <w:rPr>
          <w:rFonts w:cstheme="minorHAnsi"/>
          <w:sz w:val="24"/>
          <w:szCs w:val="24"/>
          <w:shd w:val="clear" w:color="auto" w:fill="FFFFFF"/>
        </w:rPr>
        <w:t>the private markets,</w:t>
      </w:r>
      <w:r w:rsidRPr="00DD0A33">
        <w:rPr>
          <w:rFonts w:cstheme="minorHAnsi"/>
          <w:sz w:val="24"/>
          <w:szCs w:val="24"/>
          <w:shd w:val="clear" w:color="auto" w:fill="FFFFFF"/>
        </w:rPr>
        <w:t xml:space="preserve"> finances projects across renewable energy, hospitality, healthcare, infrastructure and many other sectors worldwide, with deal values $</w:t>
      </w:r>
      <w:r w:rsidR="00654333">
        <w:rPr>
          <w:rFonts w:cstheme="minorHAnsi"/>
          <w:sz w:val="24"/>
          <w:szCs w:val="24"/>
          <w:shd w:val="clear" w:color="auto" w:fill="FFFFFF"/>
        </w:rPr>
        <w:t>50</w:t>
      </w:r>
      <w:r w:rsidRPr="00DD0A33">
        <w:rPr>
          <w:rFonts w:cstheme="minorHAnsi"/>
          <w:sz w:val="24"/>
          <w:szCs w:val="24"/>
          <w:shd w:val="clear" w:color="auto" w:fill="FFFFFF"/>
        </w:rPr>
        <w:t>m to $5bn+. To clarify, project finance is investment against revenues from a yet-to-be-built asset</w:t>
      </w:r>
      <w:r w:rsidR="00306216">
        <w:rPr>
          <w:rFonts w:cstheme="minorHAnsi"/>
          <w:sz w:val="24"/>
          <w:szCs w:val="24"/>
          <w:shd w:val="clear" w:color="auto" w:fill="FFFFFF"/>
        </w:rPr>
        <w:t>, from which mainstream banking and lending institutions are precluded by their own regulations.</w:t>
      </w:r>
      <w:r w:rsidR="00FF2195">
        <w:rPr>
          <w:rFonts w:cstheme="minorHAnsi"/>
          <w:sz w:val="24"/>
          <w:szCs w:val="24"/>
          <w:shd w:val="clear" w:color="auto" w:fill="FFFFFF"/>
        </w:rPr>
        <w:t xml:space="preserve">  Currently, </w:t>
      </w:r>
      <w:r w:rsidR="00FF2195" w:rsidRPr="00CD77A9">
        <w:rPr>
          <w:rFonts w:cstheme="minorHAnsi"/>
          <w:sz w:val="24"/>
          <w:szCs w:val="24"/>
          <w:shd w:val="clear" w:color="auto" w:fill="FFFFFF"/>
        </w:rPr>
        <w:t>the market is dominated by private capital funds delivering the l</w:t>
      </w:r>
      <w:r w:rsidRPr="00CD77A9">
        <w:rPr>
          <w:rFonts w:cstheme="minorHAnsi"/>
          <w:sz w:val="24"/>
          <w:szCs w:val="24"/>
          <w:shd w:val="clear" w:color="auto" w:fill="FFFFFF"/>
        </w:rPr>
        <w:t>ong-term, risk-mitigated returns their U/HNWI and other private capital investors seek. </w:t>
      </w:r>
      <w:r w:rsidR="0082370B" w:rsidRPr="00CD77A9">
        <w:rPr>
          <w:sz w:val="24"/>
          <w:szCs w:val="24"/>
        </w:rPr>
        <w:t xml:space="preserve">These </w:t>
      </w:r>
      <w:r w:rsidR="00D84A4D" w:rsidRPr="00CD77A9">
        <w:rPr>
          <w:sz w:val="24"/>
          <w:szCs w:val="24"/>
        </w:rPr>
        <w:t>include</w:t>
      </w:r>
      <w:r w:rsidR="0082370B" w:rsidRPr="00CD77A9">
        <w:rPr>
          <w:sz w:val="24"/>
          <w:szCs w:val="24"/>
        </w:rPr>
        <w:t>:</w:t>
      </w:r>
    </w:p>
    <w:p w14:paraId="1A62DE00" w14:textId="3D9C9152" w:rsidR="00634BDB" w:rsidRPr="00A871E5" w:rsidRDefault="007E524E" w:rsidP="00A871E5">
      <w:pPr>
        <w:pStyle w:val="Heading2"/>
        <w:numPr>
          <w:ilvl w:val="0"/>
          <w:numId w:val="3"/>
        </w:numPr>
        <w:tabs>
          <w:tab w:val="left" w:pos="3360"/>
          <w:tab w:val="left" w:pos="3361"/>
        </w:tabs>
        <w:ind w:left="3356" w:hanging="357"/>
        <w:rPr>
          <w:sz w:val="24"/>
          <w:szCs w:val="24"/>
        </w:rPr>
      </w:pPr>
      <w:r w:rsidRPr="00E060F8">
        <w:rPr>
          <w:color w:val="385522"/>
          <w:sz w:val="24"/>
          <w:szCs w:val="24"/>
        </w:rPr>
        <w:t>Alternative investment</w:t>
      </w:r>
      <w:r w:rsidRPr="00E060F8">
        <w:rPr>
          <w:color w:val="385522"/>
          <w:spacing w:val="-5"/>
          <w:sz w:val="24"/>
          <w:szCs w:val="24"/>
        </w:rPr>
        <w:t xml:space="preserve"> </w:t>
      </w:r>
      <w:r w:rsidRPr="00E060F8">
        <w:rPr>
          <w:color w:val="385522"/>
          <w:sz w:val="24"/>
          <w:szCs w:val="24"/>
        </w:rPr>
        <w:t>funds</w:t>
      </w:r>
    </w:p>
    <w:p w14:paraId="17CBA787" w14:textId="7046187F" w:rsidR="00A871E5" w:rsidRPr="00E060F8" w:rsidRDefault="00A871E5" w:rsidP="00A871E5">
      <w:pPr>
        <w:pStyle w:val="Heading2"/>
        <w:numPr>
          <w:ilvl w:val="0"/>
          <w:numId w:val="3"/>
        </w:numPr>
        <w:tabs>
          <w:tab w:val="left" w:pos="3360"/>
          <w:tab w:val="left" w:pos="3361"/>
        </w:tabs>
        <w:ind w:left="3356" w:hanging="357"/>
        <w:rPr>
          <w:sz w:val="24"/>
          <w:szCs w:val="24"/>
        </w:rPr>
      </w:pPr>
      <w:r>
        <w:rPr>
          <w:color w:val="385522"/>
          <w:sz w:val="24"/>
          <w:szCs w:val="24"/>
        </w:rPr>
        <w:t>Asset</w:t>
      </w:r>
      <w:r w:rsidR="00CD77A9">
        <w:rPr>
          <w:color w:val="385522"/>
          <w:sz w:val="24"/>
          <w:szCs w:val="24"/>
        </w:rPr>
        <w:t xml:space="preserve"> </w:t>
      </w:r>
      <w:r>
        <w:rPr>
          <w:color w:val="385522"/>
          <w:sz w:val="24"/>
          <w:szCs w:val="24"/>
        </w:rPr>
        <w:t>Managers</w:t>
      </w:r>
    </w:p>
    <w:p w14:paraId="6DA1DC47" w14:textId="31849EC5" w:rsidR="0009441E" w:rsidRPr="00E060F8" w:rsidRDefault="0009441E">
      <w:pPr>
        <w:pStyle w:val="ListParagraph"/>
        <w:numPr>
          <w:ilvl w:val="0"/>
          <w:numId w:val="3"/>
        </w:numPr>
        <w:tabs>
          <w:tab w:val="left" w:pos="3360"/>
          <w:tab w:val="left" w:pos="3361"/>
        </w:tabs>
        <w:rPr>
          <w:b/>
          <w:sz w:val="24"/>
          <w:szCs w:val="24"/>
        </w:rPr>
      </w:pPr>
      <w:r>
        <w:rPr>
          <w:b/>
          <w:color w:val="385522"/>
          <w:sz w:val="24"/>
          <w:szCs w:val="24"/>
        </w:rPr>
        <w:t>Corporate Lenders</w:t>
      </w:r>
    </w:p>
    <w:p w14:paraId="2AB47965" w14:textId="13C7C28D" w:rsidR="00634BDB" w:rsidRPr="00B10D48" w:rsidRDefault="007E524E">
      <w:pPr>
        <w:pStyle w:val="ListParagraph"/>
        <w:numPr>
          <w:ilvl w:val="0"/>
          <w:numId w:val="3"/>
        </w:numPr>
        <w:tabs>
          <w:tab w:val="left" w:pos="3360"/>
          <w:tab w:val="left" w:pos="3361"/>
        </w:tabs>
        <w:rPr>
          <w:b/>
          <w:sz w:val="24"/>
          <w:szCs w:val="24"/>
        </w:rPr>
      </w:pPr>
      <w:r w:rsidRPr="00E060F8">
        <w:rPr>
          <w:b/>
          <w:color w:val="385522"/>
          <w:sz w:val="24"/>
          <w:szCs w:val="24"/>
        </w:rPr>
        <w:t>Hedge</w:t>
      </w:r>
      <w:r w:rsidRPr="00E060F8">
        <w:rPr>
          <w:b/>
          <w:color w:val="385522"/>
          <w:spacing w:val="-2"/>
          <w:sz w:val="24"/>
          <w:szCs w:val="24"/>
        </w:rPr>
        <w:t xml:space="preserve"> </w:t>
      </w:r>
      <w:r w:rsidRPr="00E060F8">
        <w:rPr>
          <w:b/>
          <w:color w:val="385522"/>
          <w:sz w:val="24"/>
          <w:szCs w:val="24"/>
        </w:rPr>
        <w:t>funds</w:t>
      </w:r>
    </w:p>
    <w:p w14:paraId="717F5D88" w14:textId="023C6BAE" w:rsidR="00B10D48" w:rsidRPr="00E060F8" w:rsidRDefault="00B10D48">
      <w:pPr>
        <w:pStyle w:val="ListParagraph"/>
        <w:numPr>
          <w:ilvl w:val="0"/>
          <w:numId w:val="3"/>
        </w:numPr>
        <w:tabs>
          <w:tab w:val="left" w:pos="3360"/>
          <w:tab w:val="left" w:pos="3361"/>
        </w:tabs>
        <w:rPr>
          <w:b/>
          <w:sz w:val="24"/>
          <w:szCs w:val="24"/>
        </w:rPr>
      </w:pPr>
      <w:r>
        <w:rPr>
          <w:b/>
          <w:color w:val="385522"/>
          <w:sz w:val="24"/>
          <w:szCs w:val="24"/>
        </w:rPr>
        <w:t>Investment banks</w:t>
      </w:r>
    </w:p>
    <w:p w14:paraId="2DA4EFEC" w14:textId="13A686C8" w:rsidR="00634BDB" w:rsidRPr="00232957" w:rsidRDefault="007E524E" w:rsidP="00232957">
      <w:pPr>
        <w:pStyle w:val="ListParagraph"/>
        <w:numPr>
          <w:ilvl w:val="0"/>
          <w:numId w:val="3"/>
        </w:numPr>
        <w:tabs>
          <w:tab w:val="left" w:pos="3360"/>
          <w:tab w:val="left" w:pos="3361"/>
        </w:tabs>
        <w:rPr>
          <w:b/>
          <w:sz w:val="24"/>
          <w:szCs w:val="24"/>
        </w:rPr>
      </w:pPr>
      <w:r w:rsidRPr="00E060F8">
        <w:rPr>
          <w:b/>
          <w:color w:val="385522"/>
          <w:sz w:val="24"/>
          <w:szCs w:val="24"/>
        </w:rPr>
        <w:t>Multi</w:t>
      </w:r>
      <w:r w:rsidR="0009441E">
        <w:rPr>
          <w:b/>
          <w:color w:val="385522"/>
          <w:sz w:val="24"/>
          <w:szCs w:val="24"/>
        </w:rPr>
        <w:t>-/</w:t>
      </w:r>
      <w:r w:rsidRPr="00E060F8">
        <w:rPr>
          <w:b/>
          <w:color w:val="385522"/>
          <w:sz w:val="24"/>
          <w:szCs w:val="24"/>
        </w:rPr>
        <w:t>Single</w:t>
      </w:r>
      <w:r w:rsidR="0009441E">
        <w:rPr>
          <w:b/>
          <w:color w:val="385522"/>
          <w:sz w:val="24"/>
          <w:szCs w:val="24"/>
        </w:rPr>
        <w:t>-</w:t>
      </w:r>
      <w:r w:rsidRPr="00E060F8">
        <w:rPr>
          <w:b/>
          <w:color w:val="385522"/>
          <w:sz w:val="24"/>
          <w:szCs w:val="24"/>
        </w:rPr>
        <w:t>Family</w:t>
      </w:r>
      <w:r w:rsidRPr="00E060F8">
        <w:rPr>
          <w:b/>
          <w:color w:val="385522"/>
          <w:spacing w:val="-2"/>
          <w:sz w:val="24"/>
          <w:szCs w:val="24"/>
        </w:rPr>
        <w:t xml:space="preserve"> </w:t>
      </w:r>
      <w:r w:rsidRPr="00E060F8">
        <w:rPr>
          <w:b/>
          <w:color w:val="385522"/>
          <w:sz w:val="24"/>
          <w:szCs w:val="24"/>
        </w:rPr>
        <w:t>Offices</w:t>
      </w:r>
    </w:p>
    <w:p w14:paraId="2B950854" w14:textId="049C5160" w:rsidR="00634BDB" w:rsidRPr="00E060F8" w:rsidRDefault="007E524E" w:rsidP="000E7671">
      <w:pPr>
        <w:pStyle w:val="ListParagraph"/>
        <w:numPr>
          <w:ilvl w:val="0"/>
          <w:numId w:val="3"/>
        </w:numPr>
        <w:tabs>
          <w:tab w:val="left" w:pos="3360"/>
          <w:tab w:val="left" w:pos="3361"/>
        </w:tabs>
        <w:spacing w:after="120"/>
        <w:ind w:left="3356" w:hanging="357"/>
        <w:rPr>
          <w:b/>
          <w:sz w:val="24"/>
          <w:szCs w:val="24"/>
        </w:rPr>
      </w:pPr>
      <w:r w:rsidRPr="00E060F8">
        <w:rPr>
          <w:b/>
          <w:color w:val="385522"/>
          <w:sz w:val="24"/>
          <w:szCs w:val="24"/>
        </w:rPr>
        <w:t>Private debt</w:t>
      </w:r>
      <w:r w:rsidR="00A871E5">
        <w:rPr>
          <w:b/>
          <w:color w:val="385522"/>
          <w:sz w:val="24"/>
          <w:szCs w:val="24"/>
        </w:rPr>
        <w:t>/</w:t>
      </w:r>
      <w:r w:rsidRPr="00E060F8">
        <w:rPr>
          <w:b/>
          <w:color w:val="385522"/>
          <w:sz w:val="24"/>
          <w:szCs w:val="24"/>
        </w:rPr>
        <w:t>equity</w:t>
      </w:r>
      <w:r w:rsidRPr="00E060F8">
        <w:rPr>
          <w:b/>
          <w:color w:val="385522"/>
          <w:spacing w:val="-8"/>
          <w:sz w:val="24"/>
          <w:szCs w:val="24"/>
        </w:rPr>
        <w:t xml:space="preserve"> </w:t>
      </w:r>
      <w:r w:rsidRPr="00E060F8">
        <w:rPr>
          <w:b/>
          <w:color w:val="385522"/>
          <w:sz w:val="24"/>
          <w:szCs w:val="24"/>
        </w:rPr>
        <w:t>funds</w:t>
      </w:r>
    </w:p>
    <w:p w14:paraId="26E5438F" w14:textId="7A7E41C6" w:rsidR="00C61E39" w:rsidRDefault="00C61E39" w:rsidP="00C61E39">
      <w:pPr>
        <w:pStyle w:val="BodyText"/>
        <w:spacing w:after="120"/>
        <w:ind w:left="0" w:right="301"/>
      </w:pPr>
      <w:r>
        <w:t>At</w:t>
      </w:r>
      <w:r>
        <w:rPr>
          <w:spacing w:val="-10"/>
        </w:rPr>
        <w:t xml:space="preserve"> </w:t>
      </w:r>
      <w:r>
        <w:t>any</w:t>
      </w:r>
      <w:r>
        <w:rPr>
          <w:spacing w:val="-12"/>
        </w:rPr>
        <w:t xml:space="preserve"> </w:t>
      </w:r>
      <w:r>
        <w:t>one</w:t>
      </w:r>
      <w:r>
        <w:rPr>
          <w:spacing w:val="-13"/>
        </w:rPr>
        <w:t xml:space="preserve"> </w:t>
      </w:r>
      <w:r>
        <w:t>time</w:t>
      </w:r>
      <w:r>
        <w:rPr>
          <w:spacing w:val="-13"/>
        </w:rPr>
        <w:t xml:space="preserve"> </w:t>
      </w:r>
      <w:r>
        <w:t>there</w:t>
      </w:r>
      <w:r>
        <w:rPr>
          <w:spacing w:val="-10"/>
        </w:rPr>
        <w:t xml:space="preserve"> </w:t>
      </w:r>
      <w:r>
        <w:t>are</w:t>
      </w:r>
      <w:r>
        <w:rPr>
          <w:spacing w:val="-10"/>
        </w:rPr>
        <w:t xml:space="preserve"> </w:t>
      </w:r>
      <w:r>
        <w:t>many</w:t>
      </w:r>
      <w:r>
        <w:rPr>
          <w:spacing w:val="-12"/>
        </w:rPr>
        <w:t xml:space="preserve"> </w:t>
      </w:r>
      <w:r>
        <w:t>thousands</w:t>
      </w:r>
      <w:r>
        <w:rPr>
          <w:spacing w:val="-11"/>
        </w:rPr>
        <w:t xml:space="preserve"> </w:t>
      </w:r>
      <w:r>
        <w:t>of</w:t>
      </w:r>
      <w:r>
        <w:rPr>
          <w:spacing w:val="-12"/>
        </w:rPr>
        <w:t xml:space="preserve"> </w:t>
      </w:r>
      <w:r>
        <w:t>projects</w:t>
      </w:r>
      <w:r>
        <w:rPr>
          <w:spacing w:val="-11"/>
        </w:rPr>
        <w:t xml:space="preserve"> </w:t>
      </w:r>
      <w:r>
        <w:t>seeking</w:t>
      </w:r>
      <w:r>
        <w:rPr>
          <w:spacing w:val="-11"/>
        </w:rPr>
        <w:t xml:space="preserve"> </w:t>
      </w:r>
      <w:r>
        <w:t>finance,</w:t>
      </w:r>
      <w:r>
        <w:rPr>
          <w:spacing w:val="-10"/>
        </w:rPr>
        <w:t xml:space="preserve"> </w:t>
      </w:r>
      <w:r w:rsidR="00D84A4D">
        <w:rPr>
          <w:spacing w:val="-10"/>
        </w:rPr>
        <w:t>worldwide</w:t>
      </w:r>
      <w:r>
        <w:t>.</w:t>
      </w:r>
      <w:r>
        <w:rPr>
          <w:spacing w:val="33"/>
        </w:rPr>
        <w:t xml:space="preserve"> </w:t>
      </w:r>
      <w:r>
        <w:t>They</w:t>
      </w:r>
      <w:r>
        <w:rPr>
          <w:spacing w:val="-11"/>
        </w:rPr>
        <w:t xml:space="preserve"> </w:t>
      </w:r>
      <w:r>
        <w:t>range across $</w:t>
      </w:r>
      <w:r w:rsidR="00FF2195">
        <w:t>5</w:t>
      </w:r>
      <w:r w:rsidR="00783D48">
        <w:t>0</w:t>
      </w:r>
      <w:r>
        <w:t>m local care homes, thru $250m renewable energy projects to $500m hotel/resort</w:t>
      </w:r>
      <w:r>
        <w:rPr>
          <w:spacing w:val="-9"/>
        </w:rPr>
        <w:t xml:space="preserve"> </w:t>
      </w:r>
      <w:r>
        <w:t>developments</w:t>
      </w:r>
      <w:r>
        <w:rPr>
          <w:spacing w:val="-9"/>
        </w:rPr>
        <w:t xml:space="preserve"> </w:t>
      </w:r>
      <w:r>
        <w:t>and</w:t>
      </w:r>
      <w:r>
        <w:rPr>
          <w:spacing w:val="-5"/>
        </w:rPr>
        <w:t xml:space="preserve"> </w:t>
      </w:r>
      <w:r>
        <w:t>$</w:t>
      </w:r>
      <w:r w:rsidR="0082370B">
        <w:t>5</w:t>
      </w:r>
      <w:r w:rsidR="00D84A4D">
        <w:rPr>
          <w:spacing w:val="-8"/>
        </w:rPr>
        <w:t>bn</w:t>
      </w:r>
      <w:r>
        <w:rPr>
          <w:spacing w:val="-9"/>
        </w:rPr>
        <w:t xml:space="preserve"> </w:t>
      </w:r>
      <w:r>
        <w:t>or</w:t>
      </w:r>
      <w:r>
        <w:rPr>
          <w:spacing w:val="-7"/>
        </w:rPr>
        <w:t xml:space="preserve"> </w:t>
      </w:r>
      <w:r>
        <w:t>more</w:t>
      </w:r>
      <w:r>
        <w:rPr>
          <w:spacing w:val="-8"/>
        </w:rPr>
        <w:t xml:space="preserve"> </w:t>
      </w:r>
      <w:r>
        <w:t>transport,</w:t>
      </w:r>
      <w:r>
        <w:rPr>
          <w:spacing w:val="-6"/>
        </w:rPr>
        <w:t xml:space="preserve"> </w:t>
      </w:r>
      <w:r>
        <w:t>airport</w:t>
      </w:r>
      <w:r>
        <w:rPr>
          <w:spacing w:val="-9"/>
        </w:rPr>
        <w:t xml:space="preserve"> </w:t>
      </w:r>
      <w:r>
        <w:t>and</w:t>
      </w:r>
      <w:r>
        <w:rPr>
          <w:spacing w:val="-7"/>
        </w:rPr>
        <w:t xml:space="preserve"> </w:t>
      </w:r>
      <w:r>
        <w:t>other</w:t>
      </w:r>
      <w:r>
        <w:rPr>
          <w:spacing w:val="-8"/>
        </w:rPr>
        <w:t xml:space="preserve"> </w:t>
      </w:r>
      <w:r>
        <w:t>infrastructure projects.</w:t>
      </w:r>
    </w:p>
    <w:p w14:paraId="17A6052A" w14:textId="4FDF4BC5" w:rsidR="00AA70A1" w:rsidRDefault="003F04A0" w:rsidP="00C61E39">
      <w:pPr>
        <w:pStyle w:val="BodyText"/>
        <w:spacing w:after="120"/>
        <w:ind w:left="0" w:right="301"/>
      </w:pPr>
      <w:r>
        <w:t>Most notably,</w:t>
      </w:r>
      <w:r w:rsidR="00EE7F68">
        <w:t xml:space="preserve"> Lloyds of London and other leading insurance markets have</w:t>
      </w:r>
      <w:r w:rsidR="00EA2B7E">
        <w:t xml:space="preserve"> now</w:t>
      </w:r>
      <w:r w:rsidR="00EE7F68">
        <w:t xml:space="preserve"> entered the market by endowing their A+ ratings on projects by backing comprehensive insurance Wraps supporting individual projects.  This provides equivalence to mainstream </w:t>
      </w:r>
      <w:r w:rsidR="00306216">
        <w:t xml:space="preserve">illiquid </w:t>
      </w:r>
      <w:r w:rsidR="00EE7F68">
        <w:t>fixed-income assets for private capital</w:t>
      </w:r>
      <w:r w:rsidR="007F49BA">
        <w:t xml:space="preserve"> </w:t>
      </w:r>
      <w:r w:rsidR="00EE7F68">
        <w:t>investors</w:t>
      </w:r>
      <w:r w:rsidR="00CD77A9">
        <w:t xml:space="preserve"> (although some structures offering liquidity are </w:t>
      </w:r>
      <w:r w:rsidR="00BA082F">
        <w:t xml:space="preserve">becoming </w:t>
      </w:r>
      <w:r w:rsidR="00CD77A9">
        <w:t>available)</w:t>
      </w:r>
      <w:r w:rsidR="00EE7F68">
        <w:t>.</w:t>
      </w:r>
      <w:r w:rsidR="00FF2195">
        <w:t xml:space="preserve">  </w:t>
      </w:r>
      <w:r w:rsidR="000C0060">
        <w:t xml:space="preserve">Recent changes to legislation in some jurisdictions is </w:t>
      </w:r>
      <w:r w:rsidR="00FF2195">
        <w:t>expected t</w:t>
      </w:r>
      <w:r w:rsidR="000C0060">
        <w:t>o e</w:t>
      </w:r>
      <w:r w:rsidR="00FF2195">
        <w:t xml:space="preserve">ncourage mainstream institutions </w:t>
      </w:r>
      <w:r w:rsidR="000C0060">
        <w:t>in</w:t>
      </w:r>
      <w:r w:rsidR="00DB0D81">
        <w:t>to</w:t>
      </w:r>
      <w:r w:rsidR="000C0060">
        <w:t xml:space="preserve"> the market</w:t>
      </w:r>
      <w:r w:rsidR="00EA2B7E">
        <w:t>, although this will take time as they assess the opportunity</w:t>
      </w:r>
      <w:r w:rsidR="000C0060">
        <w:t>.</w:t>
      </w:r>
    </w:p>
    <w:p w14:paraId="5D809BA8" w14:textId="77777777" w:rsidR="00DB0D81" w:rsidRDefault="00DB0D81" w:rsidP="00C61E39">
      <w:pPr>
        <w:pStyle w:val="BodyText"/>
        <w:spacing w:after="120"/>
        <w:ind w:left="0" w:right="301"/>
      </w:pPr>
    </w:p>
    <w:p w14:paraId="1D8F8440" w14:textId="42238A77" w:rsidR="00FF2195" w:rsidRDefault="00FF2195" w:rsidP="00232957">
      <w:pPr>
        <w:pStyle w:val="BodyText"/>
        <w:ind w:left="0" w:right="301"/>
        <w:rPr>
          <w:b/>
          <w:bCs/>
        </w:rPr>
      </w:pPr>
      <w:r>
        <w:rPr>
          <w:b/>
          <w:bCs/>
        </w:rPr>
        <w:t>Project finance structure | No financial liability</w:t>
      </w:r>
    </w:p>
    <w:p w14:paraId="6A00D8FA" w14:textId="038D98B8" w:rsidR="00FF2195" w:rsidRPr="00FF2195" w:rsidRDefault="00FF2195" w:rsidP="00232957">
      <w:pPr>
        <w:pStyle w:val="BodyText"/>
        <w:ind w:left="0" w:right="301"/>
      </w:pPr>
      <w:r w:rsidRPr="00FF2195">
        <w:t>As defined above</w:t>
      </w:r>
      <w:r>
        <w:t xml:space="preserve">, project finance is </w:t>
      </w:r>
      <w:r>
        <w:rPr>
          <w:rFonts w:cstheme="minorHAnsi"/>
          <w:i/>
          <w:iCs/>
          <w:shd w:val="clear" w:color="auto" w:fill="FFFFFF"/>
        </w:rPr>
        <w:t>'Investment predicated on the track record and financial stability of whoever is contracted to buy the output from the built project, with those same criteria applying to contractors and other counterparties to the project</w:t>
      </w:r>
      <w:r>
        <w:rPr>
          <w:rFonts w:cstheme="minorHAnsi"/>
          <w:shd w:val="clear" w:color="auto" w:fill="FFFFFF"/>
        </w:rPr>
        <w:t>'. </w:t>
      </w:r>
    </w:p>
    <w:p w14:paraId="2127C5DE" w14:textId="77777777" w:rsidR="00FF2195" w:rsidRDefault="00FF2195" w:rsidP="00232957">
      <w:pPr>
        <w:pStyle w:val="BodyText"/>
        <w:ind w:left="0" w:right="301"/>
      </w:pPr>
    </w:p>
    <w:p w14:paraId="1BA424D6" w14:textId="25905FE3" w:rsidR="00FF2195" w:rsidRDefault="00FF2195" w:rsidP="00232957">
      <w:pPr>
        <w:pStyle w:val="BodyText"/>
        <w:ind w:left="0" w:right="301"/>
      </w:pPr>
      <w:r>
        <w:t xml:space="preserve">It is these factors on which investors lend into a project.  Whilst the </w:t>
      </w:r>
      <w:r w:rsidR="00DB0D81">
        <w:t xml:space="preserve">experience and </w:t>
      </w:r>
      <w:r>
        <w:t xml:space="preserve">credibility of the project principals be they a team, company, local or national government agency is important and relevant, their assets and balance sheet are not.  </w:t>
      </w:r>
      <w:r w:rsidR="00EA2B7E">
        <w:t>The investment/lending decision rests on the ab</w:t>
      </w:r>
      <w:r>
        <w:t>ove definition.</w:t>
      </w:r>
    </w:p>
    <w:p w14:paraId="5F69BB3C" w14:textId="77777777" w:rsidR="00FF2195" w:rsidRDefault="00FF2195" w:rsidP="00232957">
      <w:pPr>
        <w:pStyle w:val="BodyText"/>
        <w:ind w:left="0" w:right="301"/>
      </w:pPr>
    </w:p>
    <w:p w14:paraId="2F9F7E04" w14:textId="24DB0A92" w:rsidR="00664325" w:rsidRDefault="00FF2195" w:rsidP="00232957">
      <w:pPr>
        <w:pStyle w:val="BodyText"/>
        <w:ind w:left="0" w:right="301"/>
      </w:pPr>
      <w:r>
        <w:t xml:space="preserve">An example would be a $500m waste-to-energy (W2E) plant being built by a municipality.  That municipality might be providing a brownfield site on which the plant is going to be built.  It then has to show that it has secured grid connectivity, </w:t>
      </w:r>
      <w:r w:rsidR="00664325">
        <w:t xml:space="preserve">environmental, construction and other permits and, most important, a Power Purchase Agreement (PPA) with the grid into which the energy is going to be </w:t>
      </w:r>
      <w:r w:rsidR="00EA2B7E">
        <w:t>sold</w:t>
      </w:r>
      <w:r w:rsidR="00664325">
        <w:t xml:space="preserve">.  Also, they need a credible, signed (subject to finance) agreement with their EPC (Engineering, Procurement and Construction) </w:t>
      </w:r>
      <w:r w:rsidR="00DB0D81">
        <w:t xml:space="preserve">and other </w:t>
      </w:r>
      <w:r w:rsidR="00664325">
        <w:t>contractor</w:t>
      </w:r>
      <w:r w:rsidR="00DB0D81">
        <w:t>s</w:t>
      </w:r>
      <w:r w:rsidR="00664325">
        <w:t>.</w:t>
      </w:r>
      <w:r w:rsidR="00EA2B7E">
        <w:t xml:space="preserve">  There are many other considerations</w:t>
      </w:r>
      <w:r w:rsidR="00306216">
        <w:t xml:space="preserve"> on which PFX provides advice to clients.</w:t>
      </w:r>
      <w:r>
        <w:t xml:space="preserve"> </w:t>
      </w:r>
    </w:p>
    <w:p w14:paraId="0FEE963B" w14:textId="77777777" w:rsidR="00664325" w:rsidRDefault="00664325" w:rsidP="00232957">
      <w:pPr>
        <w:pStyle w:val="BodyText"/>
        <w:ind w:left="0" w:right="301"/>
      </w:pPr>
    </w:p>
    <w:p w14:paraId="16108CC1" w14:textId="7CF126D3" w:rsidR="00664325" w:rsidRDefault="00664325" w:rsidP="00232957">
      <w:pPr>
        <w:pStyle w:val="BodyText"/>
        <w:ind w:left="0" w:right="301"/>
      </w:pPr>
      <w:r>
        <w:t xml:space="preserve">Provided all this documentation and other matters are confirmed the investor will ask the project principals to arrange an insurance Wrap (see below) for the project.  </w:t>
      </w:r>
      <w:r w:rsidR="00306216">
        <w:t>Onc</w:t>
      </w:r>
      <w:r>
        <w:t>e this is confirmed the investor will establish a Special Purpose Vehicle</w:t>
      </w:r>
      <w:r w:rsidR="00CD77A9">
        <w:t xml:space="preserve"> (SPV)</w:t>
      </w:r>
      <w:r>
        <w:t xml:space="preserve"> through which the investment </w:t>
      </w:r>
      <w:r w:rsidR="00DB0D81">
        <w:t>a</w:t>
      </w:r>
      <w:r w:rsidR="00BA082F">
        <w:t>n</w:t>
      </w:r>
      <w:r w:rsidR="00DB0D81">
        <w:t>d everything related to it will be transacted.</w:t>
      </w:r>
      <w:r>
        <w:t xml:space="preserve">  </w:t>
      </w:r>
      <w:r w:rsidR="00DB0D81">
        <w:t xml:space="preserve">This leaves the </w:t>
      </w:r>
      <w:r>
        <w:t>project principals free and clear of any financial liability</w:t>
      </w:r>
      <w:r w:rsidR="00B237ED">
        <w:t>, whilst still owning the asset.</w:t>
      </w:r>
    </w:p>
    <w:p w14:paraId="25C2FB31" w14:textId="77777777" w:rsidR="00664325" w:rsidRDefault="00664325" w:rsidP="00232957">
      <w:pPr>
        <w:pStyle w:val="BodyText"/>
        <w:ind w:left="0" w:right="301"/>
      </w:pPr>
    </w:p>
    <w:p w14:paraId="1F8A3BB1" w14:textId="401FB7A5" w:rsidR="00FF2195" w:rsidRDefault="00664325" w:rsidP="00232957">
      <w:pPr>
        <w:pStyle w:val="BodyText"/>
        <w:ind w:left="0" w:right="301"/>
      </w:pPr>
      <w:r>
        <w:t>This means that the municipality will not have to turn to its taxpayers for payment or even underwriting of the deb</w:t>
      </w:r>
      <w:r w:rsidR="00DB0D81">
        <w:t>t</w:t>
      </w:r>
      <w:r w:rsidR="00EA2B7E">
        <w:t>, nor will a company need to burden its shareholders</w:t>
      </w:r>
      <w:r>
        <w:t xml:space="preserve">.  Project financing is overwhelmingly </w:t>
      </w:r>
      <w:r w:rsidR="00E93A16">
        <w:t>private debt which provides the long-term, risk-mitigated returns that investors seek.</w:t>
      </w:r>
      <w:r>
        <w:t xml:space="preserve"> </w:t>
      </w:r>
      <w:r w:rsidR="00FF2195">
        <w:t xml:space="preserve"> </w:t>
      </w:r>
    </w:p>
    <w:p w14:paraId="2D27111C" w14:textId="1520C268" w:rsidR="00FF2195" w:rsidRDefault="00FF2195" w:rsidP="00232957">
      <w:pPr>
        <w:pStyle w:val="BodyText"/>
        <w:ind w:left="0" w:right="301"/>
      </w:pPr>
      <w:r>
        <w:t xml:space="preserve"> </w:t>
      </w:r>
    </w:p>
    <w:p w14:paraId="452B7991" w14:textId="77777777" w:rsidR="00664325" w:rsidRPr="002604DA" w:rsidRDefault="00664325" w:rsidP="00664325">
      <w:pPr>
        <w:pStyle w:val="BodyText"/>
        <w:ind w:left="0"/>
        <w:rPr>
          <w:rFonts w:asciiTheme="minorHAnsi" w:hAnsiTheme="minorHAnsi" w:cstheme="minorHAnsi"/>
          <w:b/>
        </w:rPr>
      </w:pPr>
      <w:r w:rsidRPr="002604DA">
        <w:rPr>
          <w:rFonts w:asciiTheme="minorHAnsi" w:hAnsiTheme="minorHAnsi" w:cstheme="minorHAnsi"/>
          <w:b/>
        </w:rPr>
        <w:t>Insurance Wrap</w:t>
      </w:r>
    </w:p>
    <w:p w14:paraId="455C12EE" w14:textId="5067A7A1" w:rsidR="00664325" w:rsidRPr="002604DA" w:rsidRDefault="00664325" w:rsidP="00664325">
      <w:pPr>
        <w:spacing w:after="120"/>
        <w:rPr>
          <w:rFonts w:asciiTheme="minorHAnsi" w:eastAsia="Times New Roman" w:hAnsiTheme="minorHAnsi" w:cstheme="minorHAnsi"/>
          <w:sz w:val="24"/>
          <w:szCs w:val="24"/>
        </w:rPr>
      </w:pPr>
      <w:r w:rsidRPr="002604DA">
        <w:rPr>
          <w:rFonts w:asciiTheme="minorHAnsi" w:eastAsia="Times New Roman" w:hAnsiTheme="minorHAnsi" w:cstheme="minorHAnsi"/>
          <w:sz w:val="24"/>
          <w:szCs w:val="24"/>
        </w:rPr>
        <w:t>The project finance structure</w:t>
      </w:r>
      <w:r w:rsidR="00EA2B7E">
        <w:rPr>
          <w:rFonts w:asciiTheme="minorHAnsi" w:eastAsia="Times New Roman" w:hAnsiTheme="minorHAnsi" w:cstheme="minorHAnsi"/>
          <w:sz w:val="24"/>
          <w:szCs w:val="24"/>
        </w:rPr>
        <w:t xml:space="preserve"> itself</w:t>
      </w:r>
      <w:r w:rsidRPr="002604DA">
        <w:rPr>
          <w:rFonts w:asciiTheme="minorHAnsi" w:eastAsia="Times New Roman" w:hAnsiTheme="minorHAnsi" w:cstheme="minorHAnsi"/>
          <w:sz w:val="24"/>
          <w:szCs w:val="24"/>
        </w:rPr>
        <w:t>, through lending against credible off-takers</w:t>
      </w:r>
      <w:r w:rsidR="00EA2B7E">
        <w:rPr>
          <w:rFonts w:asciiTheme="minorHAnsi" w:eastAsia="Times New Roman" w:hAnsiTheme="minorHAnsi" w:cstheme="minorHAnsi"/>
          <w:sz w:val="24"/>
          <w:szCs w:val="24"/>
        </w:rPr>
        <w:t xml:space="preserve"> a</w:t>
      </w:r>
      <w:r w:rsidRPr="002604DA">
        <w:rPr>
          <w:rFonts w:asciiTheme="minorHAnsi" w:eastAsia="Times New Roman" w:hAnsiTheme="minorHAnsi" w:cstheme="minorHAnsi"/>
          <w:sz w:val="24"/>
          <w:szCs w:val="24"/>
        </w:rPr>
        <w:t xml:space="preserve">nd other counterparties to the project, delivers inherent risk-mitigation and long-term returns (loan repayments and interest) for private capital investors.  This has further been reinforced by </w:t>
      </w:r>
      <w:r w:rsidR="00DB0D81">
        <w:rPr>
          <w:rFonts w:asciiTheme="minorHAnsi" w:eastAsia="Times New Roman" w:hAnsiTheme="minorHAnsi" w:cstheme="minorHAnsi"/>
          <w:sz w:val="24"/>
          <w:szCs w:val="24"/>
        </w:rPr>
        <w:t xml:space="preserve">the </w:t>
      </w:r>
      <w:r w:rsidRPr="002604DA">
        <w:rPr>
          <w:rFonts w:asciiTheme="minorHAnsi" w:eastAsia="Times New Roman" w:hAnsiTheme="minorHAnsi" w:cstheme="minorHAnsi"/>
          <w:sz w:val="24"/>
          <w:szCs w:val="24"/>
        </w:rPr>
        <w:t>global insurance market</w:t>
      </w:r>
      <w:r w:rsidR="00DB0D81">
        <w:rPr>
          <w:rFonts w:asciiTheme="minorHAnsi" w:eastAsia="Times New Roman" w:hAnsiTheme="minorHAnsi" w:cstheme="minorHAnsi"/>
          <w:sz w:val="24"/>
          <w:szCs w:val="24"/>
        </w:rPr>
        <w:t>s</w:t>
      </w:r>
      <w:r w:rsidRPr="002604DA">
        <w:rPr>
          <w:rFonts w:asciiTheme="minorHAnsi" w:eastAsia="Times New Roman" w:hAnsiTheme="minorHAnsi" w:cstheme="minorHAnsi"/>
          <w:sz w:val="24"/>
          <w:szCs w:val="24"/>
        </w:rPr>
        <w:t xml:space="preserve"> </w:t>
      </w:r>
      <w:r w:rsidR="00DB0D81">
        <w:rPr>
          <w:rFonts w:asciiTheme="minorHAnsi" w:eastAsia="Times New Roman" w:hAnsiTheme="minorHAnsi" w:cstheme="minorHAnsi"/>
          <w:sz w:val="24"/>
          <w:szCs w:val="24"/>
        </w:rPr>
        <w:t>backing</w:t>
      </w:r>
      <w:r w:rsidRPr="002604DA">
        <w:rPr>
          <w:rFonts w:asciiTheme="minorHAnsi" w:eastAsia="Times New Roman" w:hAnsiTheme="minorHAnsi" w:cstheme="minorHAnsi"/>
          <w:sz w:val="24"/>
          <w:szCs w:val="24"/>
        </w:rPr>
        <w:t xml:space="preserve"> insurance ‘Wraps’, endowing their A+ ratings on </w:t>
      </w:r>
      <w:r w:rsidR="00B237ED">
        <w:rPr>
          <w:rFonts w:asciiTheme="minorHAnsi" w:eastAsia="Times New Roman" w:hAnsiTheme="minorHAnsi" w:cstheme="minorHAnsi"/>
          <w:sz w:val="24"/>
          <w:szCs w:val="24"/>
        </w:rPr>
        <w:t>transactions</w:t>
      </w:r>
      <w:r w:rsidRPr="002604DA">
        <w:rPr>
          <w:rFonts w:asciiTheme="minorHAnsi" w:eastAsia="Times New Roman" w:hAnsiTheme="minorHAnsi" w:cstheme="minorHAnsi"/>
          <w:sz w:val="24"/>
          <w:szCs w:val="24"/>
        </w:rPr>
        <w:t xml:space="preserve">.   </w:t>
      </w:r>
    </w:p>
    <w:p w14:paraId="784F08AD" w14:textId="3892B3C1" w:rsidR="00664325" w:rsidRPr="002604DA" w:rsidRDefault="00664325" w:rsidP="00664325">
      <w:pPr>
        <w:spacing w:after="120"/>
        <w:rPr>
          <w:rFonts w:asciiTheme="minorHAnsi" w:eastAsia="Times New Roman" w:hAnsiTheme="minorHAnsi" w:cstheme="minorHAnsi"/>
          <w:sz w:val="24"/>
          <w:szCs w:val="24"/>
        </w:rPr>
      </w:pPr>
      <w:r w:rsidRPr="002604DA">
        <w:rPr>
          <w:rFonts w:asciiTheme="minorHAnsi" w:eastAsia="Times New Roman" w:hAnsiTheme="minorHAnsi" w:cstheme="minorHAnsi"/>
          <w:sz w:val="24"/>
          <w:szCs w:val="24"/>
        </w:rPr>
        <w:t xml:space="preserve">Whilst many engineering, design, construction and other project counterparties offer their own performance guarantees and insurances, the </w:t>
      </w:r>
      <w:r w:rsidR="00EA2B7E">
        <w:rPr>
          <w:rFonts w:asciiTheme="minorHAnsi" w:eastAsia="Times New Roman" w:hAnsiTheme="minorHAnsi" w:cstheme="minorHAnsi"/>
          <w:sz w:val="24"/>
          <w:szCs w:val="24"/>
        </w:rPr>
        <w:t>i</w:t>
      </w:r>
      <w:r w:rsidRPr="002604DA">
        <w:rPr>
          <w:rFonts w:asciiTheme="minorHAnsi" w:eastAsia="Times New Roman" w:hAnsiTheme="minorHAnsi" w:cstheme="minorHAnsi"/>
          <w:sz w:val="24"/>
          <w:szCs w:val="24"/>
        </w:rPr>
        <w:t xml:space="preserve">nsurance Wrap assembles a series of interlinked policies across every aspect of the project.  These range from </w:t>
      </w:r>
      <w:r w:rsidR="00E93A16">
        <w:rPr>
          <w:rFonts w:asciiTheme="minorHAnsi" w:eastAsia="Times New Roman" w:hAnsiTheme="minorHAnsi" w:cstheme="minorHAnsi"/>
          <w:sz w:val="24"/>
          <w:szCs w:val="24"/>
        </w:rPr>
        <w:t xml:space="preserve">construction site security thru </w:t>
      </w:r>
      <w:r w:rsidRPr="002604DA">
        <w:rPr>
          <w:rFonts w:asciiTheme="minorHAnsi" w:eastAsia="Times New Roman" w:hAnsiTheme="minorHAnsi" w:cstheme="minorHAnsi"/>
          <w:sz w:val="24"/>
          <w:szCs w:val="24"/>
        </w:rPr>
        <w:t>contractors' performance</w:t>
      </w:r>
      <w:r w:rsidR="00DB0D81">
        <w:rPr>
          <w:rFonts w:asciiTheme="minorHAnsi" w:eastAsia="Times New Roman" w:hAnsiTheme="minorHAnsi" w:cstheme="minorHAnsi"/>
          <w:sz w:val="24"/>
          <w:szCs w:val="24"/>
        </w:rPr>
        <w:t xml:space="preserve"> and </w:t>
      </w:r>
      <w:r w:rsidRPr="002604DA">
        <w:rPr>
          <w:rFonts w:asciiTheme="minorHAnsi" w:eastAsia="Times New Roman" w:hAnsiTheme="minorHAnsi" w:cstheme="minorHAnsi"/>
          <w:sz w:val="24"/>
          <w:szCs w:val="24"/>
        </w:rPr>
        <w:t>off-take</w:t>
      </w:r>
      <w:r w:rsidR="00E93A16">
        <w:rPr>
          <w:rFonts w:asciiTheme="minorHAnsi" w:eastAsia="Times New Roman" w:hAnsiTheme="minorHAnsi" w:cstheme="minorHAnsi"/>
          <w:sz w:val="24"/>
          <w:szCs w:val="24"/>
        </w:rPr>
        <w:t xml:space="preserve"> agreements </w:t>
      </w:r>
      <w:r w:rsidR="00DB0D81">
        <w:rPr>
          <w:rFonts w:asciiTheme="minorHAnsi" w:eastAsia="Times New Roman" w:hAnsiTheme="minorHAnsi" w:cstheme="minorHAnsi"/>
          <w:sz w:val="24"/>
          <w:szCs w:val="24"/>
        </w:rPr>
        <w:t>to</w:t>
      </w:r>
      <w:r w:rsidR="00E93A16">
        <w:rPr>
          <w:rFonts w:asciiTheme="minorHAnsi" w:eastAsia="Times New Roman" w:hAnsiTheme="minorHAnsi" w:cstheme="minorHAnsi"/>
          <w:sz w:val="24"/>
          <w:szCs w:val="24"/>
        </w:rPr>
        <w:t xml:space="preserve"> </w:t>
      </w:r>
      <w:r w:rsidRPr="002604DA">
        <w:rPr>
          <w:rFonts w:asciiTheme="minorHAnsi" w:eastAsia="Times New Roman" w:hAnsiTheme="minorHAnsi" w:cstheme="minorHAnsi"/>
          <w:sz w:val="24"/>
          <w:szCs w:val="24"/>
        </w:rPr>
        <w:t>political risk</w:t>
      </w:r>
      <w:r w:rsidR="00EA2B7E">
        <w:rPr>
          <w:rFonts w:asciiTheme="minorHAnsi" w:eastAsia="Times New Roman" w:hAnsiTheme="minorHAnsi" w:cstheme="minorHAnsi"/>
          <w:sz w:val="24"/>
          <w:szCs w:val="24"/>
        </w:rPr>
        <w:t>.</w:t>
      </w:r>
      <w:r w:rsidRPr="002604DA">
        <w:rPr>
          <w:rFonts w:asciiTheme="minorHAnsi" w:eastAsia="Times New Roman" w:hAnsiTheme="minorHAnsi" w:cstheme="minorHAnsi"/>
          <w:sz w:val="24"/>
          <w:szCs w:val="24"/>
        </w:rPr>
        <w:t xml:space="preserve">  </w:t>
      </w:r>
    </w:p>
    <w:p w14:paraId="0B0CDB59" w14:textId="1308A43E" w:rsidR="00664325" w:rsidRPr="002604DA" w:rsidRDefault="00664325" w:rsidP="00664325">
      <w:pPr>
        <w:spacing w:after="120"/>
        <w:rPr>
          <w:rFonts w:asciiTheme="minorHAnsi" w:eastAsia="Times New Roman" w:hAnsiTheme="minorHAnsi" w:cstheme="minorHAnsi"/>
          <w:sz w:val="24"/>
          <w:szCs w:val="24"/>
        </w:rPr>
      </w:pPr>
      <w:r w:rsidRPr="002604DA">
        <w:rPr>
          <w:rFonts w:asciiTheme="minorHAnsi" w:eastAsia="Times New Roman" w:hAnsiTheme="minorHAnsi" w:cstheme="minorHAnsi"/>
          <w:sz w:val="24"/>
          <w:szCs w:val="24"/>
        </w:rPr>
        <w:t>These Wraps are issued to the direct benefit of the lender</w:t>
      </w:r>
      <w:r w:rsidR="00EA2B7E">
        <w:rPr>
          <w:rFonts w:asciiTheme="minorHAnsi" w:eastAsia="Times New Roman" w:hAnsiTheme="minorHAnsi" w:cstheme="minorHAnsi"/>
          <w:sz w:val="24"/>
          <w:szCs w:val="24"/>
        </w:rPr>
        <w:t xml:space="preserve">.  </w:t>
      </w:r>
      <w:r w:rsidRPr="002604DA">
        <w:rPr>
          <w:rFonts w:asciiTheme="minorHAnsi" w:eastAsia="Times New Roman" w:hAnsiTheme="minorHAnsi" w:cstheme="minorHAnsi"/>
          <w:sz w:val="24"/>
          <w:szCs w:val="24"/>
        </w:rPr>
        <w:t>For borrowers, there is an initial underwriting ‘set-up’ cost</w:t>
      </w:r>
      <w:r w:rsidR="00E93A16">
        <w:rPr>
          <w:rFonts w:asciiTheme="minorHAnsi" w:eastAsia="Times New Roman" w:hAnsiTheme="minorHAnsi" w:cstheme="minorHAnsi"/>
          <w:sz w:val="24"/>
          <w:szCs w:val="24"/>
        </w:rPr>
        <w:t xml:space="preserve"> which can vary between £10,000 and c£30,000 depending on the complexity, nature and other factors of the project.  </w:t>
      </w:r>
      <w:r w:rsidRPr="002604DA">
        <w:rPr>
          <w:rFonts w:asciiTheme="minorHAnsi" w:eastAsia="Times New Roman" w:hAnsiTheme="minorHAnsi" w:cstheme="minorHAnsi"/>
          <w:sz w:val="24"/>
          <w:szCs w:val="24"/>
        </w:rPr>
        <w:t>Once the policies are assembled the annual premiums are added to the loan, with which lenders have no issue as they are, in turn, insuring against their own lending.  With the Wrap backed by A+ rated insurance markets worldwide</w:t>
      </w:r>
      <w:r w:rsidR="00E93A16">
        <w:rPr>
          <w:rFonts w:asciiTheme="minorHAnsi" w:eastAsia="Times New Roman" w:hAnsiTheme="minorHAnsi" w:cstheme="minorHAnsi"/>
          <w:sz w:val="24"/>
          <w:szCs w:val="24"/>
        </w:rPr>
        <w:t>, including Lloyds of London,</w:t>
      </w:r>
      <w:r w:rsidRPr="002604DA">
        <w:rPr>
          <w:rFonts w:asciiTheme="minorHAnsi" w:eastAsia="Times New Roman" w:hAnsiTheme="minorHAnsi" w:cstheme="minorHAnsi"/>
          <w:sz w:val="24"/>
          <w:szCs w:val="24"/>
        </w:rPr>
        <w:t xml:space="preserve"> the projects become equivalent to any mainstream fixed-income asset.   </w:t>
      </w:r>
    </w:p>
    <w:p w14:paraId="07479A9C" w14:textId="3F509831" w:rsidR="00664325" w:rsidRPr="002604DA" w:rsidRDefault="00664325" w:rsidP="00664325">
      <w:pPr>
        <w:spacing w:after="120"/>
        <w:rPr>
          <w:rFonts w:asciiTheme="minorHAnsi" w:eastAsia="Times New Roman" w:hAnsiTheme="minorHAnsi" w:cstheme="minorHAnsi"/>
          <w:sz w:val="24"/>
          <w:szCs w:val="24"/>
        </w:rPr>
      </w:pPr>
      <w:r w:rsidRPr="002604DA">
        <w:rPr>
          <w:rFonts w:asciiTheme="minorHAnsi" w:eastAsia="Times New Roman" w:hAnsiTheme="minorHAnsi" w:cstheme="minorHAnsi"/>
          <w:sz w:val="24"/>
          <w:szCs w:val="24"/>
        </w:rPr>
        <w:t xml:space="preserve">Investors have direct access to the insurance Wrap, whose issuing </w:t>
      </w:r>
      <w:r w:rsidR="00B237ED">
        <w:rPr>
          <w:rFonts w:asciiTheme="minorHAnsi" w:eastAsia="Times New Roman" w:hAnsiTheme="minorHAnsi" w:cstheme="minorHAnsi"/>
          <w:sz w:val="24"/>
          <w:szCs w:val="24"/>
        </w:rPr>
        <w:t xml:space="preserve">A+-rated </w:t>
      </w:r>
      <w:r w:rsidRPr="002604DA">
        <w:rPr>
          <w:rFonts w:asciiTheme="minorHAnsi" w:eastAsia="Times New Roman" w:hAnsiTheme="minorHAnsi" w:cstheme="minorHAnsi"/>
          <w:sz w:val="24"/>
          <w:szCs w:val="24"/>
        </w:rPr>
        <w:t xml:space="preserve">underwriters are engaged by </w:t>
      </w:r>
      <w:r w:rsidR="00DD339B">
        <w:rPr>
          <w:rFonts w:asciiTheme="minorHAnsi" w:eastAsia="Times New Roman" w:hAnsiTheme="minorHAnsi" w:cstheme="minorHAnsi"/>
          <w:sz w:val="24"/>
          <w:szCs w:val="24"/>
        </w:rPr>
        <w:t>multi-award winning</w:t>
      </w:r>
      <w:r w:rsidRPr="002604DA">
        <w:rPr>
          <w:rFonts w:asciiTheme="minorHAnsi" w:eastAsia="Times New Roman" w:hAnsiTheme="minorHAnsi" w:cstheme="minorHAnsi"/>
          <w:sz w:val="24"/>
          <w:szCs w:val="24"/>
        </w:rPr>
        <w:t xml:space="preserve"> UK-based risk consultants, </w:t>
      </w:r>
      <w:hyperlink r:id="rId6" w:history="1">
        <w:r w:rsidRPr="00E93A16">
          <w:rPr>
            <w:rStyle w:val="Hyperlink"/>
            <w:rFonts w:asciiTheme="minorHAnsi" w:eastAsia="Times New Roman" w:hAnsiTheme="minorHAnsi" w:cstheme="minorHAnsi"/>
            <w:sz w:val="24"/>
            <w:szCs w:val="24"/>
          </w:rPr>
          <w:t>Invictus Risk Solutions LLP</w:t>
        </w:r>
      </w:hyperlink>
      <w:r w:rsidRPr="002604DA">
        <w:rPr>
          <w:rFonts w:asciiTheme="minorHAnsi" w:eastAsia="Times New Roman" w:hAnsiTheme="minorHAnsi" w:cstheme="minorHAnsi"/>
          <w:sz w:val="24"/>
          <w:szCs w:val="24"/>
        </w:rPr>
        <w:t xml:space="preserve">. </w:t>
      </w:r>
    </w:p>
    <w:p w14:paraId="722BDAAA" w14:textId="77777777" w:rsidR="00FF2195" w:rsidRDefault="00FF2195" w:rsidP="00232957">
      <w:pPr>
        <w:pStyle w:val="BodyText"/>
        <w:ind w:left="0" w:right="301"/>
      </w:pPr>
    </w:p>
    <w:p w14:paraId="13FA9416" w14:textId="77777777" w:rsidR="00DD339B" w:rsidRDefault="00DD339B" w:rsidP="00232957">
      <w:pPr>
        <w:pStyle w:val="BodyText"/>
        <w:ind w:left="0" w:right="301"/>
      </w:pPr>
    </w:p>
    <w:p w14:paraId="07D5EDC0" w14:textId="7AB2D49C" w:rsidR="00232957" w:rsidRPr="00232957" w:rsidRDefault="00232957" w:rsidP="00232957">
      <w:pPr>
        <w:pStyle w:val="BodyText"/>
        <w:ind w:left="0" w:right="301"/>
        <w:rPr>
          <w:b/>
          <w:bCs/>
        </w:rPr>
      </w:pPr>
      <w:r w:rsidRPr="00232957">
        <w:rPr>
          <w:b/>
          <w:bCs/>
        </w:rPr>
        <w:t>Private Capital</w:t>
      </w:r>
      <w:r w:rsidR="002B4C66">
        <w:rPr>
          <w:b/>
          <w:bCs/>
        </w:rPr>
        <w:t xml:space="preserve"> Markets</w:t>
      </w:r>
    </w:p>
    <w:p w14:paraId="5890E263" w14:textId="41CE74DE" w:rsidR="00770D55" w:rsidRDefault="007E524E" w:rsidP="00B237ED">
      <w:pPr>
        <w:pStyle w:val="BodyText"/>
        <w:spacing w:after="120" w:line="276" w:lineRule="auto"/>
        <w:ind w:left="0"/>
      </w:pPr>
      <w:r>
        <w:t>Th</w:t>
      </w:r>
      <w:r w:rsidR="007F49BA">
        <w:t>e</w:t>
      </w:r>
      <w:r>
        <w:rPr>
          <w:spacing w:val="-12"/>
        </w:rPr>
        <w:t xml:space="preserve"> </w:t>
      </w:r>
      <w:r>
        <w:t>dominance</w:t>
      </w:r>
      <w:r>
        <w:rPr>
          <w:spacing w:val="-11"/>
        </w:rPr>
        <w:t xml:space="preserve"> </w:t>
      </w:r>
      <w:r>
        <w:t>of</w:t>
      </w:r>
      <w:r>
        <w:rPr>
          <w:spacing w:val="-11"/>
        </w:rPr>
        <w:t xml:space="preserve"> </w:t>
      </w:r>
      <w:r w:rsidR="00DD339B">
        <w:rPr>
          <w:spacing w:val="-11"/>
        </w:rPr>
        <w:t>the private capital markets</w:t>
      </w:r>
      <w:r>
        <w:rPr>
          <w:spacing w:val="-11"/>
        </w:rPr>
        <w:t xml:space="preserve"> </w:t>
      </w:r>
      <w:r>
        <w:t>has</w:t>
      </w:r>
      <w:r>
        <w:rPr>
          <w:spacing w:val="-13"/>
        </w:rPr>
        <w:t xml:space="preserve"> </w:t>
      </w:r>
      <w:r>
        <w:t>progressively</w:t>
      </w:r>
      <w:r>
        <w:rPr>
          <w:spacing w:val="-15"/>
        </w:rPr>
        <w:t xml:space="preserve"> </w:t>
      </w:r>
      <w:r>
        <w:t>become</w:t>
      </w:r>
      <w:r>
        <w:rPr>
          <w:spacing w:val="-13"/>
        </w:rPr>
        <w:t xml:space="preserve"> </w:t>
      </w:r>
      <w:r>
        <w:t>the</w:t>
      </w:r>
      <w:r>
        <w:rPr>
          <w:spacing w:val="-11"/>
        </w:rPr>
        <w:t xml:space="preserve"> </w:t>
      </w:r>
      <w:r>
        <w:t>default</w:t>
      </w:r>
      <w:r>
        <w:rPr>
          <w:spacing w:val="-11"/>
        </w:rPr>
        <w:t xml:space="preserve"> </w:t>
      </w:r>
      <w:r>
        <w:t>position</w:t>
      </w:r>
      <w:r w:rsidR="00307DEC">
        <w:t xml:space="preserve"> over more than two decades, accelerated by the b</w:t>
      </w:r>
      <w:r>
        <w:t>anking</w:t>
      </w:r>
      <w:r>
        <w:rPr>
          <w:spacing w:val="-11"/>
        </w:rPr>
        <w:t xml:space="preserve"> </w:t>
      </w:r>
      <w:r>
        <w:t>crisis</w:t>
      </w:r>
      <w:r>
        <w:rPr>
          <w:spacing w:val="-9"/>
        </w:rPr>
        <w:t xml:space="preserve"> </w:t>
      </w:r>
      <w:r>
        <w:t>of</w:t>
      </w:r>
      <w:r>
        <w:rPr>
          <w:spacing w:val="-9"/>
        </w:rPr>
        <w:t xml:space="preserve"> </w:t>
      </w:r>
      <w:r>
        <w:t>2008.</w:t>
      </w:r>
      <w:r>
        <w:rPr>
          <w:spacing w:val="36"/>
        </w:rPr>
        <w:t xml:space="preserve"> </w:t>
      </w:r>
      <w:r>
        <w:t>Even</w:t>
      </w:r>
      <w:r>
        <w:rPr>
          <w:spacing w:val="-10"/>
        </w:rPr>
        <w:t xml:space="preserve"> </w:t>
      </w:r>
      <w:r>
        <w:t>before</w:t>
      </w:r>
      <w:r>
        <w:rPr>
          <w:spacing w:val="-9"/>
        </w:rPr>
        <w:t xml:space="preserve"> </w:t>
      </w:r>
      <w:r>
        <w:t>then,</w:t>
      </w:r>
      <w:r>
        <w:rPr>
          <w:spacing w:val="-11"/>
        </w:rPr>
        <w:t xml:space="preserve"> </w:t>
      </w:r>
      <w:r>
        <w:t>in</w:t>
      </w:r>
      <w:r>
        <w:rPr>
          <w:spacing w:val="-9"/>
        </w:rPr>
        <w:t xml:space="preserve"> </w:t>
      </w:r>
      <w:r>
        <w:t>2006,</w:t>
      </w:r>
      <w:r>
        <w:rPr>
          <w:spacing w:val="-10"/>
        </w:rPr>
        <w:t xml:space="preserve"> </w:t>
      </w:r>
      <w:r>
        <w:t>the</w:t>
      </w:r>
      <w:r>
        <w:rPr>
          <w:spacing w:val="-8"/>
        </w:rPr>
        <w:t xml:space="preserve"> </w:t>
      </w:r>
      <w:r>
        <w:t>OECD</w:t>
      </w:r>
      <w:r>
        <w:rPr>
          <w:spacing w:val="-8"/>
        </w:rPr>
        <w:t xml:space="preserve"> </w:t>
      </w:r>
      <w:r>
        <w:t>had</w:t>
      </w:r>
      <w:r>
        <w:rPr>
          <w:spacing w:val="-10"/>
        </w:rPr>
        <w:t xml:space="preserve"> </w:t>
      </w:r>
      <w:r>
        <w:t>commented</w:t>
      </w:r>
      <w:r>
        <w:rPr>
          <w:spacing w:val="-9"/>
        </w:rPr>
        <w:t xml:space="preserve"> </w:t>
      </w:r>
      <w:r>
        <w:t>on</w:t>
      </w:r>
      <w:r>
        <w:rPr>
          <w:spacing w:val="-9"/>
        </w:rPr>
        <w:t xml:space="preserve"> </w:t>
      </w:r>
      <w:r>
        <w:t>the</w:t>
      </w:r>
      <w:r>
        <w:rPr>
          <w:spacing w:val="-11"/>
        </w:rPr>
        <w:t xml:space="preserve"> </w:t>
      </w:r>
      <w:r>
        <w:t>exodus</w:t>
      </w:r>
      <w:r>
        <w:rPr>
          <w:spacing w:val="-8"/>
        </w:rPr>
        <w:t xml:space="preserve"> </w:t>
      </w:r>
      <w:r>
        <w:t>of</w:t>
      </w:r>
      <w:r>
        <w:rPr>
          <w:spacing w:val="-10"/>
        </w:rPr>
        <w:t xml:space="preserve"> </w:t>
      </w:r>
      <w:r>
        <w:t>capital out</w:t>
      </w:r>
      <w:r>
        <w:rPr>
          <w:spacing w:val="-4"/>
        </w:rPr>
        <w:t xml:space="preserve"> </w:t>
      </w:r>
      <w:r>
        <w:t>of</w:t>
      </w:r>
      <w:r>
        <w:rPr>
          <w:spacing w:val="-3"/>
        </w:rPr>
        <w:t xml:space="preserve"> </w:t>
      </w:r>
      <w:r>
        <w:t>the</w:t>
      </w:r>
      <w:r>
        <w:rPr>
          <w:spacing w:val="-7"/>
        </w:rPr>
        <w:t xml:space="preserve"> </w:t>
      </w:r>
      <w:r>
        <w:t>traditional</w:t>
      </w:r>
      <w:r>
        <w:rPr>
          <w:spacing w:val="-4"/>
        </w:rPr>
        <w:t xml:space="preserve"> </w:t>
      </w:r>
      <w:r>
        <w:t>banking</w:t>
      </w:r>
      <w:r>
        <w:rPr>
          <w:spacing w:val="-4"/>
        </w:rPr>
        <w:t xml:space="preserve"> </w:t>
      </w:r>
      <w:r>
        <w:t>network</w:t>
      </w:r>
      <w:r>
        <w:rPr>
          <w:spacing w:val="-6"/>
        </w:rPr>
        <w:t xml:space="preserve"> </w:t>
      </w:r>
      <w:r>
        <w:t>and</w:t>
      </w:r>
      <w:r>
        <w:rPr>
          <w:spacing w:val="-3"/>
        </w:rPr>
        <w:t xml:space="preserve"> </w:t>
      </w:r>
      <w:r>
        <w:t>into</w:t>
      </w:r>
      <w:r>
        <w:rPr>
          <w:spacing w:val="-3"/>
        </w:rPr>
        <w:t xml:space="preserve"> </w:t>
      </w:r>
      <w:r>
        <w:t>entities</w:t>
      </w:r>
      <w:r>
        <w:rPr>
          <w:spacing w:val="-4"/>
        </w:rPr>
        <w:t xml:space="preserve"> </w:t>
      </w:r>
      <w:r>
        <w:t>such</w:t>
      </w:r>
      <w:r>
        <w:rPr>
          <w:spacing w:val="-3"/>
        </w:rPr>
        <w:t xml:space="preserve"> </w:t>
      </w:r>
      <w:r>
        <w:t>as</w:t>
      </w:r>
      <w:r>
        <w:rPr>
          <w:spacing w:val="-5"/>
        </w:rPr>
        <w:t xml:space="preserve"> </w:t>
      </w:r>
      <w:r>
        <w:t>those</w:t>
      </w:r>
      <w:r>
        <w:rPr>
          <w:spacing w:val="-3"/>
        </w:rPr>
        <w:t xml:space="preserve"> </w:t>
      </w:r>
      <w:r>
        <w:t>mentioned</w:t>
      </w:r>
      <w:r>
        <w:rPr>
          <w:spacing w:val="-5"/>
        </w:rPr>
        <w:t xml:space="preserve"> </w:t>
      </w:r>
      <w:r w:rsidR="00DB0D81">
        <w:rPr>
          <w:spacing w:val="-5"/>
        </w:rPr>
        <w:t>on the panel below</w:t>
      </w:r>
      <w:r>
        <w:t>,</w:t>
      </w:r>
      <w:r>
        <w:rPr>
          <w:spacing w:val="-5"/>
        </w:rPr>
        <w:t xml:space="preserve"> </w:t>
      </w:r>
      <w:r>
        <w:t>which</w:t>
      </w:r>
      <w:r>
        <w:rPr>
          <w:spacing w:val="-3"/>
        </w:rPr>
        <w:t xml:space="preserve"> </w:t>
      </w:r>
      <w:r>
        <w:t>were to become known collectively as the ‘shadow banking</w:t>
      </w:r>
      <w:r w:rsidR="001C775A">
        <w:t>’</w:t>
      </w:r>
      <w:r>
        <w:rPr>
          <w:spacing w:val="-7"/>
        </w:rPr>
        <w:t xml:space="preserve"> </w:t>
      </w:r>
      <w:r>
        <w:t>sector.</w:t>
      </w:r>
    </w:p>
    <w:p w14:paraId="692A5A56" w14:textId="3AAADA64" w:rsidR="00232957" w:rsidRDefault="00000000" w:rsidP="00232957">
      <w:pPr>
        <w:pStyle w:val="BodyText"/>
        <w:spacing w:after="120"/>
        <w:ind w:left="0" w:right="394"/>
      </w:pPr>
      <w:r>
        <w:rPr>
          <w:noProof/>
        </w:rPr>
        <w:pict w14:anchorId="240386E2">
          <v:shapetype id="_x0000_t202" coordsize="21600,21600" o:spt="202" path="m,l,21600r21600,l21600,xe">
            <v:stroke joinstyle="miter"/>
            <v:path gradientshapeok="t" o:connecttype="rect"/>
          </v:shapetype>
          <v:shape id="Text Box 6" o:spid="_x0000_s1043" type="#_x0000_t202" style="position:absolute;left:0;text-align:left;margin-left:217.35pt;margin-top:6.1pt;width:257.25pt;height:480.6pt;z-index:-251657728;visibility:visible;mso-wrap-distance-left:9pt;mso-wrap-distance-top:3.6pt;mso-wrap-distance-right:9pt;mso-wrap-distance-bottom:3.6pt;mso-position-horizontal-relative:text;mso-position-vertical-relative:text;mso-width-relative:margin;mso-height-relative:margin;v-text-anchor:top" wrapcoords="-67 0 -67 21567 21600 21567 21600 0 -6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" fillcolor="#fde9d9 [665]" stroked="f">
            <v:textbox style="mso-next-textbox:#Text Box 6">
              <w:txbxContent>
                <w:p w14:paraId="775D3BB9" w14:textId="77777777" w:rsidR="00993A24" w:rsidRDefault="00993A24" w:rsidP="00993A24">
                  <w:pPr>
                    <w:pStyle w:val="Heading2"/>
                    <w:jc w:val="center"/>
                    <w:rPr>
                      <w:rFonts w:asciiTheme="minorHAnsi" w:hAnsiTheme="minorHAnsi" w:cstheme="minorHAnsi"/>
                      <w:b w:val="0"/>
                      <w:bCs w:val="0"/>
                      <w:color w:val="984806" w:themeColor="accent6" w:themeShade="80"/>
                      <w:sz w:val="32"/>
                      <w:szCs w:val="32"/>
                    </w:rPr>
                  </w:pPr>
                  <w:r>
                    <w:rPr>
                      <w:rFonts w:asciiTheme="minorHAnsi" w:hAnsiTheme="minorHAnsi" w:cstheme="minorHAnsi"/>
                      <w:color w:val="984806" w:themeColor="accent6" w:themeShade="80"/>
                      <w:sz w:val="32"/>
                      <w:szCs w:val="32"/>
                    </w:rPr>
                    <w:t>Global Private Capital Market</w:t>
                  </w:r>
                </w:p>
                <w:p w14:paraId="4EC928A2" w14:textId="77777777" w:rsidR="00993A24" w:rsidRDefault="00993A24" w:rsidP="00993A24">
                  <w:pPr>
                    <w:pStyle w:val="Heading2"/>
                    <w:spacing w:after="60"/>
                    <w:jc w:val="center"/>
                    <w:rPr>
                      <w:rFonts w:asciiTheme="minorHAnsi" w:hAnsiTheme="minorHAnsi" w:cstheme="minorHAnsi"/>
                      <w:b w:val="0"/>
                      <w:bCs w:val="0"/>
                      <w:color w:val="984806" w:themeColor="accent6" w:themeShade="80"/>
                      <w:sz w:val="32"/>
                      <w:szCs w:val="32"/>
                    </w:rPr>
                  </w:pPr>
                  <w:r>
                    <w:rPr>
                      <w:rFonts w:asciiTheme="minorHAnsi" w:hAnsiTheme="minorHAnsi" w:cstheme="minorHAnsi"/>
                      <w:color w:val="984806" w:themeColor="accent6" w:themeShade="80"/>
                      <w:sz w:val="32"/>
                      <w:szCs w:val="32"/>
                    </w:rPr>
                    <w:t>Key Data</w:t>
                  </w:r>
                </w:p>
                <w:p w14:paraId="1628B595" w14:textId="77777777" w:rsidR="00993A24" w:rsidRDefault="00993A24" w:rsidP="00993A24">
                  <w:pPr>
                    <w:pStyle w:val="Heading2"/>
                    <w:ind w:left="0"/>
                    <w:rPr>
                      <w:sz w:val="22"/>
                      <w:szCs w:val="22"/>
                    </w:rPr>
                  </w:pPr>
                  <w:r>
                    <w:rPr>
                      <w:sz w:val="24"/>
                      <w:szCs w:val="24"/>
                    </w:rPr>
                    <w:t>Fund Type</w:t>
                  </w:r>
                  <w:r>
                    <w:rPr>
                      <w:sz w:val="24"/>
                      <w:szCs w:val="24"/>
                    </w:rPr>
                    <w:tab/>
                  </w:r>
                  <w:r>
                    <w:rPr>
                      <w:sz w:val="24"/>
                      <w:szCs w:val="24"/>
                    </w:rPr>
                    <w:tab/>
                  </w:r>
                  <w:r>
                    <w:rPr>
                      <w:sz w:val="24"/>
                      <w:szCs w:val="24"/>
                    </w:rPr>
                    <w:tab/>
                  </w:r>
                  <w:r>
                    <w:rPr>
                      <w:sz w:val="24"/>
                      <w:szCs w:val="24"/>
                    </w:rPr>
                    <w:tab/>
                  </w:r>
                  <w:r>
                    <w:rPr>
                      <w:sz w:val="22"/>
                      <w:szCs w:val="22"/>
                    </w:rPr>
                    <w:t>AUM</w:t>
                  </w:r>
                  <w:r>
                    <w:rPr>
                      <w:sz w:val="22"/>
                      <w:szCs w:val="22"/>
                    </w:rPr>
                    <w:tab/>
                  </w:r>
                </w:p>
                <w:p w14:paraId="32CAC9BB" w14:textId="182C6368" w:rsidR="00993A24" w:rsidRDefault="00993A24" w:rsidP="00993A24">
                  <w:pPr>
                    <w:pStyle w:val="Heading2"/>
                    <w:ind w:left="0"/>
                    <w:rPr>
                      <w:b w:val="0"/>
                      <w:bCs w:val="0"/>
                      <w:sz w:val="22"/>
                      <w:szCs w:val="22"/>
                    </w:rPr>
                  </w:pPr>
                  <w:r>
                    <w:rPr>
                      <w:b w:val="0"/>
                      <w:bCs w:val="0"/>
                      <w:sz w:val="22"/>
                      <w:szCs w:val="22"/>
                    </w:rPr>
                    <w:t>2,000 Alternative Investment</w:t>
                  </w:r>
                  <w:r>
                    <w:rPr>
                      <w:b w:val="0"/>
                      <w:bCs w:val="0"/>
                      <w:spacing w:val="-5"/>
                      <w:sz w:val="22"/>
                      <w:szCs w:val="22"/>
                    </w:rPr>
                    <w:t xml:space="preserve"> </w:t>
                  </w:r>
                  <w:r>
                    <w:rPr>
                      <w:b w:val="0"/>
                      <w:bCs w:val="0"/>
                      <w:sz w:val="22"/>
                      <w:szCs w:val="22"/>
                    </w:rPr>
                    <w:t>Funds</w:t>
                  </w:r>
                  <w:r>
                    <w:rPr>
                      <w:b w:val="0"/>
                      <w:bCs w:val="0"/>
                      <w:sz w:val="22"/>
                      <w:szCs w:val="22"/>
                    </w:rPr>
                    <w:tab/>
                    <w:t>$2tn</w:t>
                  </w:r>
                  <w:r>
                    <w:rPr>
                      <w:b w:val="0"/>
                      <w:bCs w:val="0"/>
                      <w:sz w:val="24"/>
                      <w:szCs w:val="24"/>
                      <w:vertAlign w:val="superscript"/>
                    </w:rPr>
                    <w:t>1</w:t>
                  </w:r>
                  <w:r>
                    <w:rPr>
                      <w:b w:val="0"/>
                      <w:bCs w:val="0"/>
                      <w:sz w:val="22"/>
                      <w:szCs w:val="22"/>
                    </w:rPr>
                    <w:t xml:space="preserve">    </w:t>
                  </w:r>
                </w:p>
                <w:p w14:paraId="28A9D20B" w14:textId="79EE50D0" w:rsidR="00993A24" w:rsidRDefault="00993A24" w:rsidP="00993A24">
                  <w:r>
                    <w:t>10,000 Hedge</w:t>
                  </w:r>
                  <w:r>
                    <w:rPr>
                      <w:spacing w:val="-2"/>
                    </w:rPr>
                    <w:t xml:space="preserve"> </w:t>
                  </w:r>
                  <w:r>
                    <w:t>funds</w:t>
                  </w:r>
                  <w:r>
                    <w:tab/>
                  </w:r>
                  <w:r>
                    <w:tab/>
                  </w:r>
                  <w:r>
                    <w:tab/>
                    <w:t>$3.2tn</w:t>
                  </w:r>
                  <w:r>
                    <w:rPr>
                      <w:vertAlign w:val="superscript"/>
                    </w:rPr>
                    <w:t>2</w:t>
                  </w:r>
                  <w:r>
                    <w:t xml:space="preserve">     </w:t>
                  </w:r>
                </w:p>
                <w:p w14:paraId="15EBB1F0" w14:textId="469F3911" w:rsidR="00993A24" w:rsidRDefault="00993A24" w:rsidP="00993A24">
                  <w:r>
                    <w:t>7,300 Multi-/Single-Family</w:t>
                  </w:r>
                  <w:r>
                    <w:rPr>
                      <w:spacing w:val="-2"/>
                    </w:rPr>
                    <w:t xml:space="preserve"> </w:t>
                  </w:r>
                  <w:r>
                    <w:t>Offices</w:t>
                  </w:r>
                  <w:r>
                    <w:tab/>
                    <w:t>$5.9tn</w:t>
                  </w:r>
                  <w:r>
                    <w:rPr>
                      <w:vertAlign w:val="superscript"/>
                    </w:rPr>
                    <w:t>3</w:t>
                  </w:r>
                </w:p>
                <w:p w14:paraId="0E15F1AC" w14:textId="655D249B" w:rsidR="00993A24" w:rsidRDefault="00993A24" w:rsidP="00993A24">
                  <w:pPr>
                    <w:spacing w:line="276" w:lineRule="auto"/>
                  </w:pPr>
                  <w:r>
                    <w:t>62,000 Private debt and equity</w:t>
                  </w:r>
                  <w:r>
                    <w:rPr>
                      <w:spacing w:val="-8"/>
                    </w:rPr>
                    <w:t xml:space="preserve"> </w:t>
                  </w:r>
                  <w:r>
                    <w:t>funds</w:t>
                  </w:r>
                  <w:r>
                    <w:tab/>
                    <w:t>$5.5tn</w:t>
                  </w:r>
                  <w:r>
                    <w:rPr>
                      <w:vertAlign w:val="superscript"/>
                    </w:rPr>
                    <w:t>4</w:t>
                  </w:r>
                </w:p>
                <w:p w14:paraId="7AE510C6" w14:textId="77777777" w:rsidR="00993A24" w:rsidRDefault="00993A24" w:rsidP="00993A24">
                  <w:r>
                    <w:t xml:space="preserve">45,000 Asset </w:t>
                  </w:r>
                  <w:proofErr w:type="spellStart"/>
                  <w:r>
                    <w:t>Mgrs</w:t>
                  </w:r>
                  <w:proofErr w:type="spellEnd"/>
                  <w:r>
                    <w:t xml:space="preserve"> (IAM membership)</w:t>
                  </w:r>
                  <w:r>
                    <w:tab/>
                    <w:t>$10tn</w:t>
                  </w:r>
                </w:p>
                <w:p w14:paraId="40C16C19" w14:textId="77777777" w:rsidR="00993A24" w:rsidRDefault="00993A24" w:rsidP="00993A24">
                  <w:pPr>
                    <w:spacing w:after="120" w:line="192" w:lineRule="auto"/>
                    <w:rPr>
                      <w:sz w:val="20"/>
                      <w:szCs w:val="20"/>
                    </w:rPr>
                  </w:pPr>
                  <w:r>
                    <w:rPr>
                      <w:sz w:val="20"/>
                      <w:szCs w:val="20"/>
                    </w:rPr>
                    <w:t xml:space="preserve">Estimate taken from combined physical and liquid assets of $100tn as presented by </w:t>
                  </w:r>
                  <w:hyperlink r:id="rId7" w:history="1">
                    <w:r>
                      <w:rPr>
                        <w:rStyle w:val="Hyperlink"/>
                        <w:sz w:val="20"/>
                        <w:szCs w:val="20"/>
                      </w:rPr>
                      <w:t>Thinking Ahead Institute.</w:t>
                    </w:r>
                  </w:hyperlink>
                  <w:r>
                    <w:rPr>
                      <w:sz w:val="20"/>
                      <w:szCs w:val="20"/>
                    </w:rPr>
                    <w:t xml:space="preserve">  IAM membership does not represent all Asset Mgrs.</w:t>
                  </w:r>
                </w:p>
                <w:p w14:paraId="575CD1C6" w14:textId="77777777" w:rsidR="00993A24" w:rsidRDefault="00993A24" w:rsidP="00993A24">
                  <w:pPr>
                    <w:rPr>
                      <w:b/>
                      <w:bCs/>
                    </w:rPr>
                  </w:pPr>
                  <w:r>
                    <w:rPr>
                      <w:b/>
                      <w:bCs/>
                    </w:rPr>
                    <w:t xml:space="preserve">Total Funds/AUM: </w:t>
                  </w:r>
                  <w:r>
                    <w:rPr>
                      <w:b/>
                      <w:bCs/>
                    </w:rPr>
                    <w:tab/>
                    <w:t xml:space="preserve">            126,000/$26.6tn</w:t>
                  </w:r>
                </w:p>
                <w:p w14:paraId="1EE878D7" w14:textId="77777777" w:rsidR="00993A24" w:rsidRDefault="00993A24" w:rsidP="00993A24">
                  <w:pPr>
                    <w:spacing w:after="120" w:line="180" w:lineRule="auto"/>
                    <w:rPr>
                      <w:sz w:val="20"/>
                      <w:szCs w:val="20"/>
                    </w:rPr>
                  </w:pPr>
                  <w:r>
                    <w:rPr>
                      <w:sz w:val="20"/>
                      <w:szCs w:val="20"/>
                    </w:rPr>
                    <w:t>Total AUM of $26.6tn broadly reflects Cap-Gemini’s of total $24tn available to alternative assets</w:t>
                  </w:r>
                  <w:r w:rsidRPr="00E3209B">
                    <w:rPr>
                      <w:sz w:val="20"/>
                      <w:szCs w:val="20"/>
                    </w:rPr>
                    <w:t xml:space="preserve"> and</w:t>
                  </w:r>
                  <w:r>
                    <w:rPr>
                      <w:sz w:val="20"/>
                      <w:szCs w:val="20"/>
                    </w:rPr>
                    <w:t xml:space="preserve"> RE.  </w:t>
                  </w:r>
                </w:p>
                <w:p w14:paraId="5DB19562" w14:textId="041079BA" w:rsidR="006732E1" w:rsidRPr="006732E1" w:rsidRDefault="006732E1" w:rsidP="006732E1">
                  <w:pPr>
                    <w:rPr>
                      <w:b/>
                      <w:bCs/>
                      <w:sz w:val="20"/>
                      <w:szCs w:val="20"/>
                    </w:rPr>
                  </w:pPr>
                  <w:r w:rsidRPr="006732E1">
                    <w:rPr>
                      <w:b/>
                      <w:bCs/>
                      <w:sz w:val="20"/>
                      <w:szCs w:val="20"/>
                    </w:rPr>
                    <w:t>Family Offices</w:t>
                  </w:r>
                </w:p>
                <w:p w14:paraId="2168F472" w14:textId="68DBD6F6" w:rsidR="006732E1" w:rsidRDefault="006732E1" w:rsidP="00993A24">
                  <w:pPr>
                    <w:spacing w:after="120" w:line="180" w:lineRule="auto"/>
                    <w:rPr>
                      <w:sz w:val="20"/>
                      <w:szCs w:val="20"/>
                    </w:rPr>
                  </w:pPr>
                  <w:r>
                    <w:rPr>
                      <w:sz w:val="20"/>
                      <w:szCs w:val="20"/>
                    </w:rPr>
                    <w:t>For the purposes of this research the Family Office sector was ignored. Estimates of capital available from this source vary between $2tn and $15tn.  In this there could be some duplication through the Fund Types shown above.  It is a sector that is still shaking down.</w:t>
                  </w:r>
                </w:p>
                <w:p w14:paraId="577096C3" w14:textId="77777777" w:rsidR="00993A24" w:rsidRDefault="00993A24" w:rsidP="00993A24">
                  <w:pPr>
                    <w:spacing w:after="120" w:line="180" w:lineRule="auto"/>
                    <w:rPr>
                      <w:b/>
                      <w:bCs/>
                      <w:sz w:val="24"/>
                      <w:szCs w:val="24"/>
                    </w:rPr>
                  </w:pPr>
                  <w:r>
                    <w:rPr>
                      <w:b/>
                      <w:bCs/>
                      <w:sz w:val="24"/>
                      <w:szCs w:val="24"/>
                    </w:rPr>
                    <w:t>Private Capital Source</w:t>
                  </w:r>
                </w:p>
                <w:p w14:paraId="15549BB2" w14:textId="77777777" w:rsidR="00993A24" w:rsidRDefault="00993A24" w:rsidP="00993A24">
                  <w:pPr>
                    <w:spacing w:line="180" w:lineRule="auto"/>
                  </w:pPr>
                  <w:r>
                    <w:t>19 million U/HNWI’s</w:t>
                  </w:r>
                  <w:r>
                    <w:tab/>
                  </w:r>
                  <w:r>
                    <w:tab/>
                  </w:r>
                  <w:r>
                    <w:tab/>
                  </w:r>
                </w:p>
                <w:p w14:paraId="69E5C1DF" w14:textId="77777777" w:rsidR="00993A24" w:rsidRDefault="00993A24" w:rsidP="00993A24">
                  <w:pPr>
                    <w:spacing w:after="120" w:line="180" w:lineRule="auto"/>
                    <w:rPr>
                      <w:vertAlign w:val="superscript"/>
                    </w:rPr>
                  </w:pPr>
                  <w:r>
                    <w:t>Aggregate wealth</w:t>
                  </w:r>
                  <w:r>
                    <w:tab/>
                  </w:r>
                  <w:r>
                    <w:tab/>
                  </w:r>
                  <w:r>
                    <w:tab/>
                    <w:t>$74tn</w:t>
                  </w:r>
                  <w:r>
                    <w:rPr>
                      <w:vertAlign w:val="superscript"/>
                    </w:rPr>
                    <w:t>5</w:t>
                  </w:r>
                </w:p>
                <w:p w14:paraId="2E4B696B" w14:textId="77777777" w:rsidR="00993A24" w:rsidRDefault="00993A24" w:rsidP="00993A24">
                  <w:r>
                    <w:rPr>
                      <w:vertAlign w:val="superscript"/>
                    </w:rPr>
                    <w:t>1</w:t>
                  </w:r>
                  <w:r>
                    <w:t xml:space="preserve"> </w:t>
                  </w:r>
                  <w:hyperlink r:id="rId8" w:history="1">
                    <w:r>
                      <w:rPr>
                        <w:rStyle w:val="Hyperlink"/>
                        <w:sz w:val="20"/>
                        <w:szCs w:val="20"/>
                      </w:rPr>
                      <w:t>AIMA</w:t>
                    </w:r>
                  </w:hyperlink>
                </w:p>
                <w:p w14:paraId="1E180CCF" w14:textId="77777777" w:rsidR="00993A24" w:rsidRDefault="00993A24" w:rsidP="00993A24">
                  <w:r>
                    <w:rPr>
                      <w:rStyle w:val="Hyperlink"/>
                      <w:sz w:val="20"/>
                      <w:szCs w:val="20"/>
                      <w:vertAlign w:val="superscript"/>
                    </w:rPr>
                    <w:t>2</w:t>
                  </w:r>
                  <w:r>
                    <w:rPr>
                      <w:rStyle w:val="Hyperlink"/>
                      <w:sz w:val="20"/>
                      <w:szCs w:val="20"/>
                    </w:rPr>
                    <w:t xml:space="preserve"> </w:t>
                  </w:r>
                  <w:hyperlink r:id="rId9" w:history="1">
                    <w:r>
                      <w:rPr>
                        <w:rStyle w:val="Hyperlink"/>
                        <w:sz w:val="20"/>
                        <w:szCs w:val="20"/>
                      </w:rPr>
                      <w:t>Hedge Fund Assoc</w:t>
                    </w:r>
                  </w:hyperlink>
                </w:p>
                <w:p w14:paraId="1BB019FF" w14:textId="77777777" w:rsidR="00993A24" w:rsidRDefault="00993A24" w:rsidP="00993A24">
                  <w:pPr>
                    <w:rPr>
                      <w:sz w:val="20"/>
                      <w:szCs w:val="20"/>
                    </w:rPr>
                  </w:pPr>
                  <w:r>
                    <w:rPr>
                      <w:sz w:val="20"/>
                      <w:szCs w:val="20"/>
                      <w:vertAlign w:val="superscript"/>
                    </w:rPr>
                    <w:t>2</w:t>
                  </w:r>
                  <w:r>
                    <w:rPr>
                      <w:sz w:val="20"/>
                      <w:szCs w:val="20"/>
                    </w:rPr>
                    <w:t xml:space="preserve"> </w:t>
                  </w:r>
                  <w:hyperlink r:id="rId10" w:history="1">
                    <w:proofErr w:type="spellStart"/>
                    <w:r>
                      <w:rPr>
                        <w:rStyle w:val="Hyperlink"/>
                        <w:sz w:val="20"/>
                        <w:szCs w:val="20"/>
                      </w:rPr>
                      <w:t>eVestment</w:t>
                    </w:r>
                    <w:proofErr w:type="spellEnd"/>
                  </w:hyperlink>
                </w:p>
                <w:p w14:paraId="4DE21956" w14:textId="77777777" w:rsidR="00993A24" w:rsidRDefault="00993A24" w:rsidP="00993A24">
                  <w:r>
                    <w:rPr>
                      <w:vertAlign w:val="superscript"/>
                    </w:rPr>
                    <w:t>3</w:t>
                  </w:r>
                  <w:r>
                    <w:t xml:space="preserve"> </w:t>
                  </w:r>
                  <w:hyperlink r:id="rId11" w:history="1">
                    <w:r>
                      <w:rPr>
                        <w:rStyle w:val="Hyperlink"/>
                        <w:sz w:val="20"/>
                        <w:szCs w:val="20"/>
                      </w:rPr>
                      <w:t>Campden Wealth</w:t>
                    </w:r>
                  </w:hyperlink>
                </w:p>
                <w:p w14:paraId="75F2DFF1" w14:textId="77777777" w:rsidR="00993A24" w:rsidRDefault="00993A24" w:rsidP="00993A24">
                  <w:pPr>
                    <w:rPr>
                      <w:rStyle w:val="Hyperlink"/>
                      <w:sz w:val="20"/>
                      <w:szCs w:val="20"/>
                    </w:rPr>
                  </w:pPr>
                  <w:r>
                    <w:rPr>
                      <w:vertAlign w:val="superscript"/>
                    </w:rPr>
                    <w:t>4</w:t>
                  </w:r>
                  <w:r>
                    <w:t xml:space="preserve"> </w:t>
                  </w:r>
                  <w:hyperlink r:id="rId12" w:history="1">
                    <w:r>
                      <w:rPr>
                        <w:rStyle w:val="Hyperlink"/>
                        <w:sz w:val="20"/>
                        <w:szCs w:val="20"/>
                      </w:rPr>
                      <w:t>Pensions &amp; Investments Mag</w:t>
                    </w:r>
                  </w:hyperlink>
                </w:p>
                <w:p w14:paraId="01860961" w14:textId="77777777" w:rsidR="00993A24" w:rsidRDefault="00993A24" w:rsidP="00993A24">
                  <w:pPr>
                    <w:rPr>
                      <w:rStyle w:val="Hyperlink"/>
                      <w:sz w:val="20"/>
                      <w:szCs w:val="20"/>
                    </w:rPr>
                  </w:pPr>
                  <w:r>
                    <w:rPr>
                      <w:rStyle w:val="Hyperlink"/>
                      <w:sz w:val="20"/>
                      <w:szCs w:val="20"/>
                      <w:vertAlign w:val="superscript"/>
                    </w:rPr>
                    <w:t>4</w:t>
                  </w:r>
                  <w:r>
                    <w:rPr>
                      <w:rStyle w:val="Hyperlink"/>
                      <w:sz w:val="20"/>
                      <w:szCs w:val="20"/>
                    </w:rPr>
                    <w:t xml:space="preserve"> </w:t>
                  </w:r>
                  <w:hyperlink r:id="rId13" w:history="1">
                    <w:r>
                      <w:rPr>
                        <w:rStyle w:val="Hyperlink"/>
                        <w:sz w:val="20"/>
                        <w:szCs w:val="20"/>
                      </w:rPr>
                      <w:t>Preqin</w:t>
                    </w:r>
                  </w:hyperlink>
                </w:p>
                <w:p w14:paraId="0E228637" w14:textId="77777777" w:rsidR="00993A24" w:rsidRDefault="00993A24" w:rsidP="00993A24">
                  <w:r>
                    <w:rPr>
                      <w:rStyle w:val="Hyperlink"/>
                      <w:sz w:val="20"/>
                      <w:szCs w:val="20"/>
                      <w:vertAlign w:val="superscript"/>
                    </w:rPr>
                    <w:t>4</w:t>
                  </w:r>
                  <w:r>
                    <w:rPr>
                      <w:rStyle w:val="Hyperlink"/>
                      <w:sz w:val="20"/>
                      <w:szCs w:val="20"/>
                    </w:rPr>
                    <w:t xml:space="preserve"> </w:t>
                  </w:r>
                  <w:hyperlink r:id="rId14" w:history="1">
                    <w:r>
                      <w:rPr>
                        <w:rStyle w:val="Hyperlink"/>
                        <w:sz w:val="20"/>
                        <w:szCs w:val="20"/>
                      </w:rPr>
                      <w:t>Pitchbook</w:t>
                    </w:r>
                  </w:hyperlink>
                </w:p>
                <w:p w14:paraId="5D839364" w14:textId="6EB239EB" w:rsidR="00993A24" w:rsidRDefault="00000000" w:rsidP="00993A24">
                  <w:pPr>
                    <w:spacing w:after="60"/>
                    <w:rPr>
                      <w:sz w:val="20"/>
                      <w:szCs w:val="20"/>
                    </w:rPr>
                  </w:pPr>
                  <w:hyperlink r:id="rId15" w:history="1">
                    <w:r w:rsidR="00993A24">
                      <w:rPr>
                        <w:rStyle w:val="Hyperlink"/>
                        <w:sz w:val="20"/>
                        <w:szCs w:val="20"/>
                        <w:vertAlign w:val="superscript"/>
                      </w:rPr>
                      <w:t>5</w:t>
                    </w:r>
                    <w:r w:rsidR="00993A24">
                      <w:rPr>
                        <w:rStyle w:val="Hyperlink"/>
                        <w:sz w:val="20"/>
                        <w:szCs w:val="20"/>
                      </w:rPr>
                      <w:t xml:space="preserve"> Asset Allocation chart.  Cap-Gemini World Wealth Report. </w:t>
                    </w:r>
                  </w:hyperlink>
                  <w:r w:rsidR="00993A24">
                    <w:rPr>
                      <w:sz w:val="20"/>
                      <w:szCs w:val="20"/>
                    </w:rPr>
                    <w:t xml:space="preserve"> </w:t>
                  </w:r>
                </w:p>
                <w:p w14:paraId="64908ADE" w14:textId="77777777" w:rsidR="006732E1" w:rsidRDefault="006732E1" w:rsidP="00993A24">
                  <w:pPr>
                    <w:spacing w:after="60"/>
                    <w:rPr>
                      <w:sz w:val="20"/>
                      <w:szCs w:val="20"/>
                    </w:rPr>
                  </w:pPr>
                </w:p>
                <w:p w14:paraId="1BBA5D80" w14:textId="02912980" w:rsidR="00993A24" w:rsidRDefault="00993A24" w:rsidP="00993A24">
                  <w:pPr>
                    <w:jc w:val="right"/>
                    <w:rPr>
                      <w:color w:val="A6A6A6" w:themeColor="background1" w:themeShade="A6"/>
                      <w:sz w:val="20"/>
                      <w:szCs w:val="20"/>
                    </w:rPr>
                  </w:pPr>
                  <w:r>
                    <w:rPr>
                      <w:color w:val="A6A6A6" w:themeColor="background1" w:themeShade="A6"/>
                      <w:sz w:val="20"/>
                      <w:szCs w:val="20"/>
                    </w:rPr>
                    <w:t xml:space="preserve">© </w:t>
                  </w:r>
                  <w:proofErr w:type="spellStart"/>
                  <w:r>
                    <w:rPr>
                      <w:color w:val="A6A6A6" w:themeColor="background1" w:themeShade="A6"/>
                      <w:sz w:val="20"/>
                      <w:szCs w:val="20"/>
                    </w:rPr>
                    <w:t>Exchage</w:t>
                  </w:r>
                  <w:proofErr w:type="spellEnd"/>
                  <w:r>
                    <w:rPr>
                      <w:color w:val="A6A6A6" w:themeColor="background1" w:themeShade="A6"/>
                      <w:sz w:val="20"/>
                      <w:szCs w:val="20"/>
                    </w:rPr>
                    <w:t xml:space="preserve"> Media (PFX) Ltd</w:t>
                  </w:r>
                  <w:r w:rsidR="000C0060">
                    <w:rPr>
                      <w:color w:val="A6A6A6" w:themeColor="background1" w:themeShade="A6"/>
                      <w:sz w:val="20"/>
                      <w:szCs w:val="20"/>
                    </w:rPr>
                    <w:t xml:space="preserve"> 2023</w:t>
                  </w:r>
                </w:p>
                <w:p w14:paraId="57A1C486" w14:textId="77777777" w:rsidR="00993A24" w:rsidRDefault="00993A24" w:rsidP="00993A24">
                  <w:pPr>
                    <w:rPr>
                      <w:color w:val="A6A6A6" w:themeColor="background1" w:themeShade="A6"/>
                      <w:sz w:val="20"/>
                      <w:szCs w:val="20"/>
                    </w:rPr>
                  </w:pPr>
                </w:p>
              </w:txbxContent>
            </v:textbox>
            <w10:wrap type="tight"/>
          </v:shape>
        </w:pict>
      </w:r>
      <w:r w:rsidR="00CE53BB">
        <w:t>I</w:t>
      </w:r>
      <w:r w:rsidR="007E524E">
        <w:t xml:space="preserve">t is </w:t>
      </w:r>
      <w:r w:rsidR="005D0892">
        <w:t>now</w:t>
      </w:r>
      <w:r w:rsidR="007B0BEA">
        <w:t xml:space="preserve"> </w:t>
      </w:r>
      <w:r w:rsidR="007E524E">
        <w:t>widely acknowledged that</w:t>
      </w:r>
      <w:r w:rsidR="003F04A0">
        <w:t xml:space="preserve">, outside of retail and </w:t>
      </w:r>
      <w:r w:rsidR="00B237ED">
        <w:t>mainstream</w:t>
      </w:r>
      <w:r w:rsidR="003F04A0">
        <w:t xml:space="preserve"> business banking services,</w:t>
      </w:r>
      <w:r w:rsidR="007E524E">
        <w:t xml:space="preserve"> so-called ‘shadow banking’ in all its many private debt and equity forms, </w:t>
      </w:r>
      <w:r w:rsidR="00DD339B">
        <w:t xml:space="preserve">now </w:t>
      </w:r>
      <w:r w:rsidR="007E524E">
        <w:t>clearly overshadows traditional bank</w:t>
      </w:r>
      <w:r w:rsidR="00330F02">
        <w:t xml:space="preserve">ing. </w:t>
      </w:r>
      <w:r w:rsidR="00DD339B">
        <w:t xml:space="preserve"> Irony lives.</w:t>
      </w:r>
    </w:p>
    <w:p w14:paraId="7B8501B6" w14:textId="28442811" w:rsidR="00B237ED" w:rsidRDefault="00B237ED" w:rsidP="00232957">
      <w:pPr>
        <w:pStyle w:val="BodyText"/>
        <w:spacing w:after="120"/>
        <w:ind w:left="0" w:right="394"/>
      </w:pPr>
      <w:r>
        <w:t>Mainstream banks who are involved in the market do so through their own investment banking or alternative investment operations.</w:t>
      </w:r>
    </w:p>
    <w:p w14:paraId="76CD7B1A" w14:textId="3FE66CD2" w:rsidR="00307DEC" w:rsidRDefault="0009441E" w:rsidP="00B237ED">
      <w:pPr>
        <w:pStyle w:val="BodyText"/>
        <w:spacing w:after="120" w:line="276" w:lineRule="auto"/>
        <w:ind w:left="0" w:right="394"/>
      </w:pPr>
      <w:r w:rsidRPr="0009441E">
        <w:t xml:space="preserve">The </w:t>
      </w:r>
      <w:r w:rsidR="00E16115">
        <w:t xml:space="preserve">ultimate </w:t>
      </w:r>
      <w:r w:rsidRPr="0009441E">
        <w:t>source of the finance is</w:t>
      </w:r>
      <w:r w:rsidR="000941BF">
        <w:t xml:space="preserve"> (at the time of writing in 2020)</w:t>
      </w:r>
      <w:r w:rsidRPr="0009441E">
        <w:t xml:space="preserve"> 19 million Ultra- and High-Net Worth Individuals (U/HNWI’s) worldwide with aggregate wealth of $74 trillion, as presented in the</w:t>
      </w:r>
      <w:r w:rsidRPr="0009441E">
        <w:rPr>
          <w:i/>
          <w:iCs/>
        </w:rPr>
        <w:t xml:space="preserve"> </w:t>
      </w:r>
      <w:hyperlink r:id="rId16" w:history="1">
        <w:r w:rsidRPr="0009441E">
          <w:rPr>
            <w:rStyle w:val="Hyperlink"/>
            <w:i/>
            <w:iCs/>
          </w:rPr>
          <w:t>Cap-Gemini 2020 World Wealth Report</w:t>
        </w:r>
        <w:r w:rsidRPr="0009441E">
          <w:rPr>
            <w:rStyle w:val="Hyperlink"/>
          </w:rPr>
          <w:t xml:space="preserve"> </w:t>
        </w:r>
      </w:hyperlink>
      <w:r w:rsidRPr="0009441E">
        <w:t>(and other sources).</w:t>
      </w:r>
    </w:p>
    <w:p w14:paraId="16C52292" w14:textId="77777777" w:rsidR="00E93A16" w:rsidRDefault="0009441E" w:rsidP="00B237ED">
      <w:pPr>
        <w:pStyle w:val="BodyText"/>
        <w:spacing w:after="120" w:line="276" w:lineRule="auto"/>
        <w:ind w:left="0" w:right="394"/>
      </w:pPr>
      <w:r w:rsidRPr="0009441E">
        <w:t>This vast capital reserve</w:t>
      </w:r>
      <w:r w:rsidR="00232957">
        <w:t xml:space="preserve">, known </w:t>
      </w:r>
      <w:r w:rsidR="00654050">
        <w:t xml:space="preserve">in the market </w:t>
      </w:r>
      <w:r w:rsidR="00232957">
        <w:t xml:space="preserve">as </w:t>
      </w:r>
      <w:r w:rsidR="0082370B">
        <w:t>‘d</w:t>
      </w:r>
      <w:r w:rsidR="00232957">
        <w:t xml:space="preserve">ry </w:t>
      </w:r>
      <w:r w:rsidR="0082370B">
        <w:t>p</w:t>
      </w:r>
      <w:r w:rsidR="00232957">
        <w:t>owder</w:t>
      </w:r>
      <w:r w:rsidR="0082370B">
        <w:t>’</w:t>
      </w:r>
      <w:r w:rsidR="00232957">
        <w:t>,</w:t>
      </w:r>
      <w:r w:rsidRPr="0009441E">
        <w:t xml:space="preserve"> is finding its way into the market through </w:t>
      </w:r>
      <w:r w:rsidR="00A24D95">
        <w:t>over</w:t>
      </w:r>
      <w:r w:rsidR="001A5F5F">
        <w:t xml:space="preserve"> 126,000</w:t>
      </w:r>
      <w:r w:rsidR="0082370B" w:rsidRPr="0082370B">
        <w:t xml:space="preserve"> </w:t>
      </w:r>
      <w:r w:rsidR="00A24D95">
        <w:t>alternative investment</w:t>
      </w:r>
      <w:r w:rsidR="001A5F5F">
        <w:t xml:space="preserve">, </w:t>
      </w:r>
      <w:r w:rsidRPr="0082370B">
        <w:t>hedge</w:t>
      </w:r>
      <w:r w:rsidR="001A5F5F">
        <w:t xml:space="preserve"> and</w:t>
      </w:r>
      <w:r w:rsidRPr="0082370B">
        <w:t xml:space="preserve"> private debt/equity</w:t>
      </w:r>
      <w:r w:rsidR="00A24D95">
        <w:t xml:space="preserve"> funds</w:t>
      </w:r>
      <w:r w:rsidR="001A5F5F">
        <w:t>, asset managers, family offices and other private capital investors</w:t>
      </w:r>
      <w:r w:rsidR="00A24D95">
        <w:t xml:space="preserve"> </w:t>
      </w:r>
      <w:r w:rsidRPr="0082370B">
        <w:t xml:space="preserve">worldwide.  </w:t>
      </w:r>
    </w:p>
    <w:p w14:paraId="38232268" w14:textId="77777777" w:rsidR="00B237ED" w:rsidRDefault="00E93A16" w:rsidP="00B237ED">
      <w:pPr>
        <w:pStyle w:val="BodyText"/>
        <w:spacing w:after="120" w:line="276" w:lineRule="auto"/>
        <w:ind w:left="0" w:right="394"/>
      </w:pPr>
      <w:r>
        <w:t xml:space="preserve">The market has been powered by this vast lake of </w:t>
      </w:r>
      <w:r w:rsidR="0009441E" w:rsidRPr="0082370B">
        <w:t xml:space="preserve">private capital </w:t>
      </w:r>
      <w:r w:rsidR="00232957" w:rsidRPr="0082370B">
        <w:t xml:space="preserve">which has grown </w:t>
      </w:r>
      <w:r w:rsidR="00466767">
        <w:t>since</w:t>
      </w:r>
      <w:r w:rsidR="0009441E" w:rsidRPr="0082370B">
        <w:t xml:space="preserve"> the</w:t>
      </w:r>
      <w:r>
        <w:t xml:space="preserve"> turn of the century,</w:t>
      </w:r>
      <w:r w:rsidR="00232957" w:rsidRPr="0082370B">
        <w:t xml:space="preserve"> and channelled through </w:t>
      </w:r>
      <w:r w:rsidR="0009441E" w:rsidRPr="0082370B">
        <w:t xml:space="preserve">thousands of private capital </w:t>
      </w:r>
      <w:r w:rsidR="00466767">
        <w:t>funds</w:t>
      </w:r>
      <w:r w:rsidR="001A1F34">
        <w:t xml:space="preserve"> (see panel </w:t>
      </w:r>
      <w:r>
        <w:t>above</w:t>
      </w:r>
      <w:r w:rsidR="001A1F34">
        <w:t>)</w:t>
      </w:r>
      <w:r w:rsidR="00232957" w:rsidRPr="0082370B">
        <w:t xml:space="preserve">.  </w:t>
      </w:r>
    </w:p>
    <w:p w14:paraId="1F54117A" w14:textId="6AC35A21" w:rsidR="0009441E" w:rsidRDefault="000C0060" w:rsidP="00B237ED">
      <w:pPr>
        <w:pStyle w:val="BodyText"/>
        <w:spacing w:after="120" w:line="276" w:lineRule="auto"/>
        <w:ind w:left="0" w:right="394"/>
      </w:pPr>
      <w:r>
        <w:t xml:space="preserve">PFX was introduced to overcome the fragmentation that has always afflicted the market.  </w:t>
      </w:r>
      <w:r w:rsidR="00DD339B">
        <w:t xml:space="preserve">With multiple investors and projects feeling their way in an unstructured market at any one time, </w:t>
      </w:r>
      <w:r>
        <w:t xml:space="preserve">It got to the point where </w:t>
      </w:r>
      <w:r w:rsidR="00DD339B">
        <w:t>it</w:t>
      </w:r>
      <w:r w:rsidR="00232957" w:rsidRPr="0082370B">
        <w:t xml:space="preserve"> bec</w:t>
      </w:r>
      <w:r w:rsidR="0009441E" w:rsidRPr="0082370B">
        <w:t>ame so crowded</w:t>
      </w:r>
      <w:r>
        <w:t xml:space="preserve"> </w:t>
      </w:r>
      <w:r w:rsidR="0009441E" w:rsidRPr="0009441E">
        <w:t xml:space="preserve">and opaque it was almost impossible for projects and </w:t>
      </w:r>
      <w:r w:rsidR="00505A6C">
        <w:t>investors</w:t>
      </w:r>
      <w:r w:rsidR="0009441E" w:rsidRPr="0009441E">
        <w:t xml:space="preserve"> to </w:t>
      </w:r>
      <w:r w:rsidR="001A1F34">
        <w:t xml:space="preserve">identify, </w:t>
      </w:r>
      <w:r w:rsidR="0009441E" w:rsidRPr="0009441E">
        <w:t>connect and engage</w:t>
      </w:r>
      <w:r w:rsidR="001A1F34">
        <w:t xml:space="preserve"> with each other</w:t>
      </w:r>
      <w:r w:rsidR="0009441E" w:rsidRPr="0009441E">
        <w:t xml:space="preserve">.  A </w:t>
      </w:r>
      <w:r w:rsidR="00DD339B">
        <w:t>challenge for both investors and projects</w:t>
      </w:r>
      <w:r w:rsidR="0009441E" w:rsidRPr="0009441E">
        <w:t xml:space="preserve"> which PFX</w:t>
      </w:r>
      <w:r w:rsidR="001A1F34">
        <w:t xml:space="preserve">, through its progressive </w:t>
      </w:r>
      <w:r w:rsidR="00DD339B">
        <w:t xml:space="preserve">and long term mission of </w:t>
      </w:r>
      <w:r w:rsidR="001A1F34">
        <w:t>consolidati</w:t>
      </w:r>
      <w:r w:rsidR="00DD339B">
        <w:t>ng</w:t>
      </w:r>
      <w:r w:rsidR="001A1F34">
        <w:t xml:space="preserve"> the market, is now transforming i</w:t>
      </w:r>
      <w:r w:rsidR="00232957">
        <w:t>nto a seamless process.</w:t>
      </w:r>
      <w:r w:rsidR="0009441E" w:rsidRPr="0009441E">
        <w:t xml:space="preserve"> </w:t>
      </w:r>
    </w:p>
    <w:p w14:paraId="49A70805" w14:textId="0E3BB095" w:rsidR="00DD339B" w:rsidRDefault="00DD339B" w:rsidP="00B237ED">
      <w:pPr>
        <w:pStyle w:val="BodyText"/>
        <w:spacing w:after="120" w:line="276" w:lineRule="auto"/>
        <w:ind w:left="0" w:right="394"/>
      </w:pPr>
      <w:r>
        <w:t>The transactional value of the global project finance market</w:t>
      </w:r>
      <w:r w:rsidR="000C1855">
        <w:t xml:space="preserve"> is already greater than tha</w:t>
      </w:r>
      <w:r>
        <w:t>t of most stock exchanges</w:t>
      </w:r>
      <w:r w:rsidR="00DB0D81">
        <w:t xml:space="preserve"> including London and New York</w:t>
      </w:r>
      <w:r w:rsidR="002B4C66">
        <w:t xml:space="preserve">.  </w:t>
      </w:r>
      <w:r w:rsidR="000C1855">
        <w:t>P</w:t>
      </w:r>
      <w:r>
        <w:t>roject financing</w:t>
      </w:r>
      <w:r w:rsidR="000C1855">
        <w:t xml:space="preserve"> values often </w:t>
      </w:r>
      <w:r>
        <w:t>exceed IPO’s.</w:t>
      </w:r>
    </w:p>
    <w:p w14:paraId="102998D9" w14:textId="77777777" w:rsidR="00B237ED" w:rsidRDefault="00B237ED" w:rsidP="00AA70A1">
      <w:pPr>
        <w:pStyle w:val="BodyText"/>
        <w:ind w:left="0"/>
        <w:rPr>
          <w:b/>
          <w:sz w:val="26"/>
        </w:rPr>
      </w:pPr>
    </w:p>
    <w:p w14:paraId="5330180C" w14:textId="494572DB" w:rsidR="003B62BC" w:rsidRDefault="003B62BC" w:rsidP="00783D48">
      <w:pPr>
        <w:pStyle w:val="BodyText"/>
        <w:spacing w:before="119" w:line="242" w:lineRule="auto"/>
        <w:ind w:left="2"/>
        <w:rPr>
          <w:b/>
          <w:bCs/>
        </w:rPr>
      </w:pPr>
      <w:r w:rsidRPr="003B62BC">
        <w:rPr>
          <w:b/>
          <w:bCs/>
        </w:rPr>
        <w:t>Further information:</w:t>
      </w:r>
    </w:p>
    <w:p w14:paraId="6676BBFE" w14:textId="11829EEB" w:rsidR="000C0060" w:rsidRPr="000C0060" w:rsidRDefault="00000000" w:rsidP="00783D48">
      <w:pPr>
        <w:pStyle w:val="BodyText"/>
        <w:spacing w:before="119" w:line="242" w:lineRule="auto"/>
        <w:ind w:left="2"/>
      </w:pPr>
      <w:hyperlink r:id="rId17" w:history="1">
        <w:r w:rsidR="000C0060" w:rsidRPr="000C0060">
          <w:rPr>
            <w:rStyle w:val="Hyperlink"/>
          </w:rPr>
          <w:t>Investors</w:t>
        </w:r>
      </w:hyperlink>
    </w:p>
    <w:p w14:paraId="1437975B" w14:textId="1470CD51" w:rsidR="000C0060" w:rsidRPr="000C0060" w:rsidRDefault="00000000" w:rsidP="00783D48">
      <w:pPr>
        <w:pStyle w:val="BodyText"/>
        <w:spacing w:before="119" w:line="242" w:lineRule="auto"/>
        <w:ind w:left="2"/>
      </w:pPr>
      <w:hyperlink r:id="rId18" w:history="1">
        <w:r w:rsidR="000C0060" w:rsidRPr="000C0060">
          <w:rPr>
            <w:rStyle w:val="Hyperlink"/>
          </w:rPr>
          <w:t>Raising Project Finance</w:t>
        </w:r>
      </w:hyperlink>
    </w:p>
    <w:p w14:paraId="6A83E9E1" w14:textId="53CFA119" w:rsidR="009F472E" w:rsidRDefault="00000000" w:rsidP="00783D48">
      <w:pPr>
        <w:pStyle w:val="BodyText"/>
        <w:spacing w:before="119" w:line="242" w:lineRule="auto"/>
        <w:ind w:left="2"/>
      </w:pPr>
      <w:hyperlink r:id="rId19" w:history="1">
        <w:r w:rsidR="009F472E" w:rsidRPr="009F472E">
          <w:rPr>
            <w:rStyle w:val="Hyperlink"/>
          </w:rPr>
          <w:t>View PFX Articles and Op-Eds</w:t>
        </w:r>
      </w:hyperlink>
    </w:p>
    <w:p w14:paraId="51A77861" w14:textId="3974DEFB" w:rsidR="000C0060" w:rsidRDefault="00654333" w:rsidP="00306216">
      <w:pPr>
        <w:pStyle w:val="BodyText"/>
        <w:spacing w:before="119" w:line="242" w:lineRule="auto"/>
        <w:ind w:left="2"/>
        <w:jc w:val="left"/>
      </w:pPr>
      <w:r>
        <w:t>For i</w:t>
      </w:r>
      <w:r w:rsidR="002B4C66">
        <w:t xml:space="preserve">nterviews with </w:t>
      </w:r>
      <w:r w:rsidR="00306216">
        <w:t xml:space="preserve">the </w:t>
      </w:r>
      <w:r w:rsidR="002B4C66">
        <w:t xml:space="preserve">PFX </w:t>
      </w:r>
      <w:r w:rsidR="00306216">
        <w:t>CEO (USA) or Chairman (UK)</w:t>
      </w:r>
      <w:r>
        <w:t xml:space="preserve"> please contact</w:t>
      </w:r>
      <w:r w:rsidR="00F87695">
        <w:t xml:space="preserve"> </w:t>
      </w:r>
      <w:hyperlink r:id="rId20" w:history="1">
        <w:r w:rsidR="000C0060" w:rsidRPr="005F423A">
          <w:rPr>
            <w:rStyle w:val="Hyperlink"/>
          </w:rPr>
          <w:t>media@projectfinanceexchange.com</w:t>
        </w:r>
      </w:hyperlink>
      <w:r w:rsidR="000C0060">
        <w:t xml:space="preserve"> </w:t>
      </w:r>
      <w:r w:rsidR="00F83FA4">
        <w:t>in the first instance.  W</w:t>
      </w:r>
      <w:r w:rsidR="000C0060">
        <w:t>e will respond within 48 business hours.</w:t>
      </w:r>
    </w:p>
    <w:p w14:paraId="7227E8E4" w14:textId="42945185" w:rsidR="00D84A4D" w:rsidRDefault="000C0060" w:rsidP="000C0060">
      <w:pPr>
        <w:pStyle w:val="BodyText"/>
        <w:spacing w:before="119" w:line="242" w:lineRule="auto"/>
        <w:ind w:left="2"/>
      </w:pPr>
      <w:r>
        <w:t>T</w:t>
      </w:r>
      <w:r w:rsidR="00D84A4D">
        <w:t xml:space="preserve">here is a comprehensive </w:t>
      </w:r>
      <w:hyperlink r:id="rId21" w:history="1">
        <w:r w:rsidR="00D84A4D" w:rsidRPr="000C0060">
          <w:rPr>
            <w:rStyle w:val="Hyperlink"/>
          </w:rPr>
          <w:t>FAQ zone</w:t>
        </w:r>
      </w:hyperlink>
      <w:r w:rsidR="00D84A4D">
        <w:t xml:space="preserve"> at the </w:t>
      </w:r>
      <w:r w:rsidR="00D84A4D" w:rsidRPr="000C0060">
        <w:t>site</w:t>
      </w:r>
      <w:r w:rsidR="00D84A4D">
        <w:t>.</w:t>
      </w:r>
    </w:p>
    <w:p w14:paraId="16587C2F" w14:textId="4A2BBEA9" w:rsidR="002B4C66" w:rsidRDefault="00306216" w:rsidP="000C0060">
      <w:pPr>
        <w:pStyle w:val="BodyText"/>
        <w:spacing w:before="119" w:line="242" w:lineRule="auto"/>
        <w:ind w:left="2"/>
      </w:pPr>
      <w:r>
        <w:t xml:space="preserve">Please  </w:t>
      </w:r>
      <w:hyperlink r:id="rId22" w:history="1">
        <w:r w:rsidR="002B4C66" w:rsidRPr="002B4C66">
          <w:rPr>
            <w:rStyle w:val="Hyperlink"/>
          </w:rPr>
          <w:t>REGISTER HERE</w:t>
        </w:r>
      </w:hyperlink>
      <w:r w:rsidR="002B4C66">
        <w:t xml:space="preserve"> </w:t>
      </w:r>
      <w:r w:rsidR="00654333">
        <w:t xml:space="preserve"> </w:t>
      </w:r>
      <w:r w:rsidR="002B4C66">
        <w:t>for further information.</w:t>
      </w:r>
    </w:p>
    <w:p w14:paraId="5437A6D1" w14:textId="77777777" w:rsidR="00C632AC" w:rsidRDefault="00C632AC" w:rsidP="00C632AC">
      <w:pPr>
        <w:pStyle w:val="BodyText"/>
        <w:spacing w:before="119" w:line="242" w:lineRule="auto"/>
        <w:ind w:left="2"/>
        <w:jc w:val="left"/>
      </w:pPr>
    </w:p>
    <w:p w14:paraId="17A1C38F" w14:textId="157BE651" w:rsidR="00DB0D81" w:rsidRPr="0059749E" w:rsidRDefault="00DB0D81" w:rsidP="00DB0D81">
      <w:pPr>
        <w:jc w:val="left"/>
        <w:rPr>
          <w:rStyle w:val="Hyperlink"/>
          <w:b/>
          <w:bCs/>
          <w:color w:val="auto"/>
          <w:sz w:val="24"/>
          <w:szCs w:val="24"/>
          <w:u w:val="none"/>
        </w:rPr>
      </w:pPr>
      <w:r w:rsidRPr="0059749E">
        <w:rPr>
          <w:rStyle w:val="Hyperlink"/>
          <w:b/>
          <w:bCs/>
          <w:color w:val="auto"/>
          <w:sz w:val="24"/>
          <w:szCs w:val="24"/>
          <w:u w:val="none"/>
        </w:rPr>
        <w:t xml:space="preserve">From PFX Op-Ed in </w:t>
      </w:r>
      <w:hyperlink r:id="rId23" w:history="1">
        <w:r w:rsidRPr="0059749E">
          <w:rPr>
            <w:rStyle w:val="Hyperlink"/>
            <w:b/>
            <w:bCs/>
            <w:i/>
            <w:iCs/>
            <w:sz w:val="24"/>
            <w:szCs w:val="24"/>
          </w:rPr>
          <w:t>Private Debt Investor</w:t>
        </w:r>
      </w:hyperlink>
      <w:r w:rsidRPr="0059749E">
        <w:rPr>
          <w:rStyle w:val="Hyperlink"/>
          <w:b/>
          <w:bCs/>
          <w:color w:val="auto"/>
          <w:sz w:val="24"/>
          <w:szCs w:val="24"/>
          <w:u w:val="none"/>
        </w:rPr>
        <w:t xml:space="preserve"> | Feb 2021</w:t>
      </w:r>
    </w:p>
    <w:p w14:paraId="16EA511B" w14:textId="77777777" w:rsidR="0059749E" w:rsidRDefault="0059749E" w:rsidP="00DB0D81">
      <w:pPr>
        <w:jc w:val="left"/>
        <w:rPr>
          <w:rStyle w:val="Hyperlink"/>
          <w:b/>
          <w:bCs/>
          <w:color w:val="4F6228" w:themeColor="accent3" w:themeShade="80"/>
          <w:sz w:val="24"/>
          <w:szCs w:val="24"/>
        </w:rPr>
      </w:pPr>
    </w:p>
    <w:p w14:paraId="6B3C336E" w14:textId="4DFFBB29" w:rsidR="0059749E" w:rsidRDefault="0059749E" w:rsidP="0059749E">
      <w:pPr>
        <w:jc w:val="left"/>
        <w:rPr>
          <w:rStyle w:val="Hyperlink"/>
          <w:b/>
          <w:bCs/>
          <w:color w:val="4F6228" w:themeColor="accent3" w:themeShade="80"/>
          <w:sz w:val="24"/>
          <w:szCs w:val="24"/>
        </w:rPr>
      </w:pPr>
      <w:r w:rsidRPr="0059749E">
        <w:rPr>
          <w:rStyle w:val="Hyperlink"/>
          <w:color w:val="4F6228" w:themeColor="accent3" w:themeShade="80"/>
          <w:sz w:val="24"/>
          <w:szCs w:val="24"/>
          <w:u w:val="none"/>
        </w:rPr>
        <w:t>“</w:t>
      </w:r>
      <w:r>
        <w:rPr>
          <w:rFonts w:ascii="Source Sans Pro" w:hAnsi="Source Sans Pro"/>
          <w:i/>
          <w:iCs/>
          <w:color w:val="212529"/>
          <w:shd w:val="clear" w:color="auto" w:fill="FFFFFF"/>
        </w:rPr>
        <w:t>…</w:t>
      </w:r>
      <w:r w:rsidRPr="0059749E">
        <w:rPr>
          <w:rFonts w:ascii="Source Sans Pro" w:hAnsi="Source Sans Pro"/>
          <w:i/>
          <w:iCs/>
          <w:color w:val="212529"/>
          <w:shd w:val="clear" w:color="auto" w:fill="FFFFFF"/>
        </w:rPr>
        <w:t xml:space="preserve"> the first recorded project financing was in 1299 when an Italian merchant bank, the House of Frescobaldi, funded a silver mine in Devon, England with the loan repaid with the output from the mine. In itself, the very definition of ‘project finance’</w:t>
      </w:r>
      <w:r>
        <w:rPr>
          <w:rFonts w:ascii="Source Sans Pro" w:hAnsi="Source Sans Pro"/>
          <w:color w:val="212529"/>
          <w:shd w:val="clear" w:color="auto" w:fill="FFFFFF"/>
        </w:rPr>
        <w:t>.”</w:t>
      </w:r>
    </w:p>
    <w:p w14:paraId="5B782E36" w14:textId="2E5592FE" w:rsidR="0059749E" w:rsidRDefault="0059749E" w:rsidP="00DB0D81">
      <w:pPr>
        <w:jc w:val="left"/>
        <w:rPr>
          <w:rStyle w:val="Hyperlink"/>
          <w:b/>
          <w:bCs/>
          <w:color w:val="4F6228" w:themeColor="accent3" w:themeShade="80"/>
          <w:sz w:val="24"/>
          <w:szCs w:val="24"/>
        </w:rPr>
      </w:pPr>
      <w:r>
        <w:rPr>
          <w:noProof/>
        </w:rPr>
        <w:drawing>
          <wp:anchor distT="0" distB="0" distL="114300" distR="114300" simplePos="0" relativeHeight="251657728" behindDoc="1" locked="0" layoutInCell="1" allowOverlap="1" wp14:anchorId="335704BA" wp14:editId="27BC53C7">
            <wp:simplePos x="0" y="0"/>
            <wp:positionH relativeFrom="column">
              <wp:posOffset>3718560</wp:posOffset>
            </wp:positionH>
            <wp:positionV relativeFrom="paragraph">
              <wp:posOffset>130175</wp:posOffset>
            </wp:positionV>
            <wp:extent cx="1318260" cy="437515"/>
            <wp:effectExtent l="0" t="0" r="0" b="0"/>
            <wp:wrapTight wrapText="bothSides">
              <wp:wrapPolygon edited="0">
                <wp:start x="1249" y="0"/>
                <wp:lineTo x="312" y="3762"/>
                <wp:lineTo x="0" y="15988"/>
                <wp:lineTo x="1249" y="20691"/>
                <wp:lineTo x="5931" y="20691"/>
                <wp:lineTo x="21225" y="17869"/>
                <wp:lineTo x="21225" y="6583"/>
                <wp:lineTo x="18104" y="3762"/>
                <wp:lineTo x="5931" y="0"/>
                <wp:lineTo x="1249" y="0"/>
              </wp:wrapPolygon>
            </wp:wrapTight>
            <wp:docPr id="459666507" name="Picture 459666507" descr="Icon&#10;&#10;Description automatically generated with low confiden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low confidence">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18260" cy="437515"/>
                    </a:xfrm>
                    <a:prstGeom prst="rect">
                      <a:avLst/>
                    </a:prstGeom>
                  </pic:spPr>
                </pic:pic>
              </a:graphicData>
            </a:graphic>
          </wp:anchor>
        </w:drawing>
      </w:r>
    </w:p>
    <w:p w14:paraId="23E88CD6" w14:textId="12F3CEEA" w:rsidR="0059749E" w:rsidRDefault="00000000" w:rsidP="0059749E">
      <w:pPr>
        <w:jc w:val="center"/>
        <w:rPr>
          <w:rStyle w:val="Hyperlink"/>
          <w:b/>
          <w:bCs/>
          <w:color w:val="4F6228" w:themeColor="accent3" w:themeShade="80"/>
          <w:sz w:val="36"/>
          <w:szCs w:val="36"/>
        </w:rPr>
      </w:pPr>
      <w:hyperlink r:id="rId26" w:history="1">
        <w:r w:rsidR="0059749E" w:rsidRPr="00637D7D">
          <w:rPr>
            <w:rStyle w:val="Hyperlink"/>
            <w:b/>
            <w:bCs/>
            <w:color w:val="4F6228" w:themeColor="accent3" w:themeShade="80"/>
            <w:sz w:val="36"/>
            <w:szCs w:val="36"/>
          </w:rPr>
          <w:t>RETURN TO PFX SITE</w:t>
        </w:r>
      </w:hyperlink>
      <w:r w:rsidR="0059749E">
        <w:rPr>
          <w:rStyle w:val="Hyperlink"/>
          <w:b/>
          <w:bCs/>
          <w:color w:val="4F6228" w:themeColor="accent3" w:themeShade="80"/>
          <w:sz w:val="36"/>
          <w:szCs w:val="36"/>
        </w:rPr>
        <w:t xml:space="preserve"> </w:t>
      </w:r>
    </w:p>
    <w:p w14:paraId="3684E8ED" w14:textId="77777777" w:rsidR="0059749E" w:rsidRDefault="0059749E" w:rsidP="00DB0D81">
      <w:pPr>
        <w:jc w:val="left"/>
        <w:rPr>
          <w:rStyle w:val="Hyperlink"/>
          <w:b/>
          <w:bCs/>
          <w:color w:val="4F6228" w:themeColor="accent3" w:themeShade="80"/>
          <w:sz w:val="24"/>
          <w:szCs w:val="24"/>
        </w:rPr>
      </w:pPr>
    </w:p>
    <w:p w14:paraId="4A584501" w14:textId="77777777" w:rsidR="00306216" w:rsidRDefault="00306216" w:rsidP="00306216">
      <w:pPr>
        <w:jc w:val="center"/>
        <w:rPr>
          <w:rStyle w:val="Hyperlink"/>
          <w:b/>
          <w:bCs/>
          <w:color w:val="4F6228" w:themeColor="accent3" w:themeShade="80"/>
          <w:sz w:val="24"/>
          <w:szCs w:val="24"/>
          <w:u w:val="none"/>
        </w:rPr>
      </w:pPr>
    </w:p>
    <w:p w14:paraId="6D17ECC4" w14:textId="45EA58AA" w:rsidR="00306216" w:rsidRPr="00306216" w:rsidRDefault="00306216" w:rsidP="00306216">
      <w:pPr>
        <w:jc w:val="center"/>
        <w:rPr>
          <w:rStyle w:val="Hyperlink"/>
          <w:b/>
          <w:bCs/>
          <w:color w:val="4F6228" w:themeColor="accent3" w:themeShade="80"/>
          <w:sz w:val="24"/>
          <w:szCs w:val="24"/>
          <w:u w:val="none"/>
        </w:rPr>
      </w:pPr>
      <w:r w:rsidRPr="00306216">
        <w:rPr>
          <w:rStyle w:val="Hyperlink"/>
          <w:b/>
          <w:bCs/>
          <w:color w:val="4F6228" w:themeColor="accent3" w:themeShade="80"/>
          <w:sz w:val="24"/>
          <w:szCs w:val="24"/>
          <w:u w:val="none"/>
        </w:rPr>
        <w:t>If using content from this PFX Media Backgrounder please be sure to credit PFX.  Thank you.</w:t>
      </w:r>
    </w:p>
    <w:sectPr w:rsidR="00306216" w:rsidRPr="00306216" w:rsidSect="00254E49">
      <w:pgSz w:w="11910" w:h="16840"/>
      <w:pgMar w:top="851" w:right="1080" w:bottom="851"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4B"/>
    <w:multiLevelType w:val="hybridMultilevel"/>
    <w:tmpl w:val="A8B6C29C"/>
    <w:lvl w:ilvl="0" w:tplc="88EE85D4">
      <w:numFmt w:val="bullet"/>
      <w:lvlText w:val=""/>
      <w:lvlJc w:val="left"/>
      <w:pPr>
        <w:ind w:left="840" w:hanging="360"/>
      </w:pPr>
      <w:rPr>
        <w:rFonts w:ascii="Symbol" w:eastAsia="Symbol" w:hAnsi="Symbol" w:cs="Symbol" w:hint="default"/>
        <w:w w:val="100"/>
        <w:sz w:val="24"/>
        <w:szCs w:val="24"/>
        <w:lang w:val="en-GB" w:eastAsia="en-GB" w:bidi="en-GB"/>
      </w:rPr>
    </w:lvl>
    <w:lvl w:ilvl="1" w:tplc="76700F14">
      <w:numFmt w:val="bullet"/>
      <w:lvlText w:val="•"/>
      <w:lvlJc w:val="left"/>
      <w:pPr>
        <w:ind w:left="1772" w:hanging="360"/>
      </w:pPr>
      <w:rPr>
        <w:rFonts w:hint="default"/>
        <w:lang w:val="en-GB" w:eastAsia="en-GB" w:bidi="en-GB"/>
      </w:rPr>
    </w:lvl>
    <w:lvl w:ilvl="2" w:tplc="D974CF2E">
      <w:numFmt w:val="bullet"/>
      <w:lvlText w:val="•"/>
      <w:lvlJc w:val="left"/>
      <w:pPr>
        <w:ind w:left="2705" w:hanging="360"/>
      </w:pPr>
      <w:rPr>
        <w:rFonts w:hint="default"/>
        <w:lang w:val="en-GB" w:eastAsia="en-GB" w:bidi="en-GB"/>
      </w:rPr>
    </w:lvl>
    <w:lvl w:ilvl="3" w:tplc="C90448BA">
      <w:numFmt w:val="bullet"/>
      <w:lvlText w:val="•"/>
      <w:lvlJc w:val="left"/>
      <w:pPr>
        <w:ind w:left="3637" w:hanging="360"/>
      </w:pPr>
      <w:rPr>
        <w:rFonts w:hint="default"/>
        <w:lang w:val="en-GB" w:eastAsia="en-GB" w:bidi="en-GB"/>
      </w:rPr>
    </w:lvl>
    <w:lvl w:ilvl="4" w:tplc="54F21DC6">
      <w:numFmt w:val="bullet"/>
      <w:lvlText w:val="•"/>
      <w:lvlJc w:val="left"/>
      <w:pPr>
        <w:ind w:left="4570" w:hanging="360"/>
      </w:pPr>
      <w:rPr>
        <w:rFonts w:hint="default"/>
        <w:lang w:val="en-GB" w:eastAsia="en-GB" w:bidi="en-GB"/>
      </w:rPr>
    </w:lvl>
    <w:lvl w:ilvl="5" w:tplc="772E92B0">
      <w:numFmt w:val="bullet"/>
      <w:lvlText w:val="•"/>
      <w:lvlJc w:val="left"/>
      <w:pPr>
        <w:ind w:left="5503" w:hanging="360"/>
      </w:pPr>
      <w:rPr>
        <w:rFonts w:hint="default"/>
        <w:lang w:val="en-GB" w:eastAsia="en-GB" w:bidi="en-GB"/>
      </w:rPr>
    </w:lvl>
    <w:lvl w:ilvl="6" w:tplc="F22C12F8">
      <w:numFmt w:val="bullet"/>
      <w:lvlText w:val="•"/>
      <w:lvlJc w:val="left"/>
      <w:pPr>
        <w:ind w:left="6435" w:hanging="360"/>
      </w:pPr>
      <w:rPr>
        <w:rFonts w:hint="default"/>
        <w:lang w:val="en-GB" w:eastAsia="en-GB" w:bidi="en-GB"/>
      </w:rPr>
    </w:lvl>
    <w:lvl w:ilvl="7" w:tplc="1E54041A">
      <w:numFmt w:val="bullet"/>
      <w:lvlText w:val="•"/>
      <w:lvlJc w:val="left"/>
      <w:pPr>
        <w:ind w:left="7368" w:hanging="360"/>
      </w:pPr>
      <w:rPr>
        <w:rFonts w:hint="default"/>
        <w:lang w:val="en-GB" w:eastAsia="en-GB" w:bidi="en-GB"/>
      </w:rPr>
    </w:lvl>
    <w:lvl w:ilvl="8" w:tplc="9FE45C9E">
      <w:numFmt w:val="bullet"/>
      <w:lvlText w:val="•"/>
      <w:lvlJc w:val="left"/>
      <w:pPr>
        <w:ind w:left="8301" w:hanging="360"/>
      </w:pPr>
      <w:rPr>
        <w:rFonts w:hint="default"/>
        <w:lang w:val="en-GB" w:eastAsia="en-GB" w:bidi="en-GB"/>
      </w:rPr>
    </w:lvl>
  </w:abstractNum>
  <w:abstractNum w:abstractNumId="1" w15:restartNumberingAfterBreak="0">
    <w:nsid w:val="16C661C3"/>
    <w:multiLevelType w:val="hybridMultilevel"/>
    <w:tmpl w:val="77C4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C919CB"/>
    <w:multiLevelType w:val="hybridMultilevel"/>
    <w:tmpl w:val="433808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9D20ED0"/>
    <w:multiLevelType w:val="hybridMultilevel"/>
    <w:tmpl w:val="C87CCE90"/>
    <w:lvl w:ilvl="0" w:tplc="18480870">
      <w:numFmt w:val="bullet"/>
      <w:lvlText w:val=""/>
      <w:lvlJc w:val="left"/>
      <w:pPr>
        <w:ind w:left="3361" w:hanging="360"/>
      </w:pPr>
      <w:rPr>
        <w:rFonts w:ascii="Symbol" w:eastAsia="Symbol" w:hAnsi="Symbol" w:cs="Symbol" w:hint="default"/>
        <w:color w:val="385522"/>
        <w:w w:val="99"/>
        <w:sz w:val="26"/>
        <w:szCs w:val="26"/>
        <w:lang w:val="en-GB" w:eastAsia="en-GB" w:bidi="en-GB"/>
      </w:rPr>
    </w:lvl>
    <w:lvl w:ilvl="1" w:tplc="0C3A738E">
      <w:numFmt w:val="bullet"/>
      <w:lvlText w:val="•"/>
      <w:lvlJc w:val="left"/>
      <w:pPr>
        <w:ind w:left="4040" w:hanging="360"/>
      </w:pPr>
      <w:rPr>
        <w:rFonts w:hint="default"/>
        <w:lang w:val="en-GB" w:eastAsia="en-GB" w:bidi="en-GB"/>
      </w:rPr>
    </w:lvl>
    <w:lvl w:ilvl="2" w:tplc="8C04186E">
      <w:numFmt w:val="bullet"/>
      <w:lvlText w:val="•"/>
      <w:lvlJc w:val="left"/>
      <w:pPr>
        <w:ind w:left="4721" w:hanging="360"/>
      </w:pPr>
      <w:rPr>
        <w:rFonts w:hint="default"/>
        <w:lang w:val="en-GB" w:eastAsia="en-GB" w:bidi="en-GB"/>
      </w:rPr>
    </w:lvl>
    <w:lvl w:ilvl="3" w:tplc="B30C4304">
      <w:numFmt w:val="bullet"/>
      <w:lvlText w:val="•"/>
      <w:lvlJc w:val="left"/>
      <w:pPr>
        <w:ind w:left="5401" w:hanging="360"/>
      </w:pPr>
      <w:rPr>
        <w:rFonts w:hint="default"/>
        <w:lang w:val="en-GB" w:eastAsia="en-GB" w:bidi="en-GB"/>
      </w:rPr>
    </w:lvl>
    <w:lvl w:ilvl="4" w:tplc="6F0A34D4">
      <w:numFmt w:val="bullet"/>
      <w:lvlText w:val="•"/>
      <w:lvlJc w:val="left"/>
      <w:pPr>
        <w:ind w:left="6082" w:hanging="360"/>
      </w:pPr>
      <w:rPr>
        <w:rFonts w:hint="default"/>
        <w:lang w:val="en-GB" w:eastAsia="en-GB" w:bidi="en-GB"/>
      </w:rPr>
    </w:lvl>
    <w:lvl w:ilvl="5" w:tplc="0284BBCE">
      <w:numFmt w:val="bullet"/>
      <w:lvlText w:val="•"/>
      <w:lvlJc w:val="left"/>
      <w:pPr>
        <w:ind w:left="6763" w:hanging="360"/>
      </w:pPr>
      <w:rPr>
        <w:rFonts w:hint="default"/>
        <w:lang w:val="en-GB" w:eastAsia="en-GB" w:bidi="en-GB"/>
      </w:rPr>
    </w:lvl>
    <w:lvl w:ilvl="6" w:tplc="70C4A05A">
      <w:numFmt w:val="bullet"/>
      <w:lvlText w:val="•"/>
      <w:lvlJc w:val="left"/>
      <w:pPr>
        <w:ind w:left="7443" w:hanging="360"/>
      </w:pPr>
      <w:rPr>
        <w:rFonts w:hint="default"/>
        <w:lang w:val="en-GB" w:eastAsia="en-GB" w:bidi="en-GB"/>
      </w:rPr>
    </w:lvl>
    <w:lvl w:ilvl="7" w:tplc="4F0C1102">
      <w:numFmt w:val="bullet"/>
      <w:lvlText w:val="•"/>
      <w:lvlJc w:val="left"/>
      <w:pPr>
        <w:ind w:left="8124" w:hanging="360"/>
      </w:pPr>
      <w:rPr>
        <w:rFonts w:hint="default"/>
        <w:lang w:val="en-GB" w:eastAsia="en-GB" w:bidi="en-GB"/>
      </w:rPr>
    </w:lvl>
    <w:lvl w:ilvl="8" w:tplc="DBDAD2D2">
      <w:numFmt w:val="bullet"/>
      <w:lvlText w:val="•"/>
      <w:lvlJc w:val="left"/>
      <w:pPr>
        <w:ind w:left="8805" w:hanging="360"/>
      </w:pPr>
      <w:rPr>
        <w:rFonts w:hint="default"/>
        <w:lang w:val="en-GB" w:eastAsia="en-GB" w:bidi="en-GB"/>
      </w:rPr>
    </w:lvl>
  </w:abstractNum>
  <w:abstractNum w:abstractNumId="4" w15:restartNumberingAfterBreak="0">
    <w:nsid w:val="7A4F7386"/>
    <w:multiLevelType w:val="hybridMultilevel"/>
    <w:tmpl w:val="33C2EB1E"/>
    <w:lvl w:ilvl="0" w:tplc="72F45E42">
      <w:numFmt w:val="bullet"/>
      <w:lvlText w:val=""/>
      <w:lvlJc w:val="left"/>
      <w:pPr>
        <w:ind w:left="480" w:hanging="361"/>
      </w:pPr>
      <w:rPr>
        <w:rFonts w:ascii="Symbol" w:eastAsia="Symbol" w:hAnsi="Symbol" w:cs="Symbol" w:hint="default"/>
        <w:color w:val="385522"/>
        <w:w w:val="99"/>
        <w:sz w:val="26"/>
        <w:szCs w:val="26"/>
        <w:lang w:val="en-GB" w:eastAsia="en-GB" w:bidi="en-GB"/>
      </w:rPr>
    </w:lvl>
    <w:lvl w:ilvl="1" w:tplc="77125B6A">
      <w:numFmt w:val="bullet"/>
      <w:lvlText w:val="•"/>
      <w:lvlJc w:val="left"/>
      <w:pPr>
        <w:ind w:left="1448" w:hanging="361"/>
      </w:pPr>
      <w:rPr>
        <w:rFonts w:hint="default"/>
        <w:lang w:val="en-GB" w:eastAsia="en-GB" w:bidi="en-GB"/>
      </w:rPr>
    </w:lvl>
    <w:lvl w:ilvl="2" w:tplc="5D785C2C">
      <w:numFmt w:val="bullet"/>
      <w:lvlText w:val="•"/>
      <w:lvlJc w:val="left"/>
      <w:pPr>
        <w:ind w:left="2417" w:hanging="361"/>
      </w:pPr>
      <w:rPr>
        <w:rFonts w:hint="default"/>
        <w:lang w:val="en-GB" w:eastAsia="en-GB" w:bidi="en-GB"/>
      </w:rPr>
    </w:lvl>
    <w:lvl w:ilvl="3" w:tplc="762E2082">
      <w:numFmt w:val="bullet"/>
      <w:lvlText w:val="•"/>
      <w:lvlJc w:val="left"/>
      <w:pPr>
        <w:ind w:left="3385" w:hanging="361"/>
      </w:pPr>
      <w:rPr>
        <w:rFonts w:hint="default"/>
        <w:lang w:val="en-GB" w:eastAsia="en-GB" w:bidi="en-GB"/>
      </w:rPr>
    </w:lvl>
    <w:lvl w:ilvl="4" w:tplc="76D43804">
      <w:numFmt w:val="bullet"/>
      <w:lvlText w:val="•"/>
      <w:lvlJc w:val="left"/>
      <w:pPr>
        <w:ind w:left="4354" w:hanging="361"/>
      </w:pPr>
      <w:rPr>
        <w:rFonts w:hint="default"/>
        <w:lang w:val="en-GB" w:eastAsia="en-GB" w:bidi="en-GB"/>
      </w:rPr>
    </w:lvl>
    <w:lvl w:ilvl="5" w:tplc="53B49FB8">
      <w:numFmt w:val="bullet"/>
      <w:lvlText w:val="•"/>
      <w:lvlJc w:val="left"/>
      <w:pPr>
        <w:ind w:left="5323" w:hanging="361"/>
      </w:pPr>
      <w:rPr>
        <w:rFonts w:hint="default"/>
        <w:lang w:val="en-GB" w:eastAsia="en-GB" w:bidi="en-GB"/>
      </w:rPr>
    </w:lvl>
    <w:lvl w:ilvl="6" w:tplc="D7F8C020">
      <w:numFmt w:val="bullet"/>
      <w:lvlText w:val="•"/>
      <w:lvlJc w:val="left"/>
      <w:pPr>
        <w:ind w:left="6291" w:hanging="361"/>
      </w:pPr>
      <w:rPr>
        <w:rFonts w:hint="default"/>
        <w:lang w:val="en-GB" w:eastAsia="en-GB" w:bidi="en-GB"/>
      </w:rPr>
    </w:lvl>
    <w:lvl w:ilvl="7" w:tplc="FD50811E">
      <w:numFmt w:val="bullet"/>
      <w:lvlText w:val="•"/>
      <w:lvlJc w:val="left"/>
      <w:pPr>
        <w:ind w:left="7260" w:hanging="361"/>
      </w:pPr>
      <w:rPr>
        <w:rFonts w:hint="default"/>
        <w:lang w:val="en-GB" w:eastAsia="en-GB" w:bidi="en-GB"/>
      </w:rPr>
    </w:lvl>
    <w:lvl w:ilvl="8" w:tplc="EC2C1BBA">
      <w:numFmt w:val="bullet"/>
      <w:lvlText w:val="•"/>
      <w:lvlJc w:val="left"/>
      <w:pPr>
        <w:ind w:left="8229" w:hanging="361"/>
      </w:pPr>
      <w:rPr>
        <w:rFonts w:hint="default"/>
        <w:lang w:val="en-GB" w:eastAsia="en-GB" w:bidi="en-GB"/>
      </w:rPr>
    </w:lvl>
  </w:abstractNum>
  <w:num w:numId="1" w16cid:durableId="352152542">
    <w:abstractNumId w:val="4"/>
  </w:num>
  <w:num w:numId="2" w16cid:durableId="2143956870">
    <w:abstractNumId w:val="0"/>
  </w:num>
  <w:num w:numId="3" w16cid:durableId="1447890348">
    <w:abstractNumId w:val="3"/>
  </w:num>
  <w:num w:numId="4" w16cid:durableId="1250851914">
    <w:abstractNumId w:val="2"/>
  </w:num>
  <w:num w:numId="5" w16cid:durableId="101989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34BDB"/>
    <w:rsid w:val="00026B53"/>
    <w:rsid w:val="00067766"/>
    <w:rsid w:val="000941BF"/>
    <w:rsid w:val="0009441E"/>
    <w:rsid w:val="000B536E"/>
    <w:rsid w:val="000C0060"/>
    <w:rsid w:val="000C1855"/>
    <w:rsid w:val="000D48F3"/>
    <w:rsid w:val="000E09B2"/>
    <w:rsid w:val="000E7671"/>
    <w:rsid w:val="001065A3"/>
    <w:rsid w:val="00111B02"/>
    <w:rsid w:val="001356F2"/>
    <w:rsid w:val="001557E5"/>
    <w:rsid w:val="00160F45"/>
    <w:rsid w:val="00183C11"/>
    <w:rsid w:val="001A1F34"/>
    <w:rsid w:val="001A5F5F"/>
    <w:rsid w:val="001A7741"/>
    <w:rsid w:val="001C775A"/>
    <w:rsid w:val="001D0302"/>
    <w:rsid w:val="001E2284"/>
    <w:rsid w:val="0021044B"/>
    <w:rsid w:val="00223C99"/>
    <w:rsid w:val="00232957"/>
    <w:rsid w:val="00254E49"/>
    <w:rsid w:val="002604DA"/>
    <w:rsid w:val="002608F1"/>
    <w:rsid w:val="00266033"/>
    <w:rsid w:val="002B4C66"/>
    <w:rsid w:val="002D07E6"/>
    <w:rsid w:val="00306216"/>
    <w:rsid w:val="00307DEC"/>
    <w:rsid w:val="00312A59"/>
    <w:rsid w:val="00314C57"/>
    <w:rsid w:val="00316629"/>
    <w:rsid w:val="003173AE"/>
    <w:rsid w:val="00323A38"/>
    <w:rsid w:val="00327268"/>
    <w:rsid w:val="00330F02"/>
    <w:rsid w:val="003529E4"/>
    <w:rsid w:val="00373BF4"/>
    <w:rsid w:val="003B62BC"/>
    <w:rsid w:val="003C6A3C"/>
    <w:rsid w:val="003D596E"/>
    <w:rsid w:val="003E0105"/>
    <w:rsid w:val="003F04A0"/>
    <w:rsid w:val="004258FF"/>
    <w:rsid w:val="00453873"/>
    <w:rsid w:val="00466767"/>
    <w:rsid w:val="00475FCA"/>
    <w:rsid w:val="004925CF"/>
    <w:rsid w:val="00497CF4"/>
    <w:rsid w:val="004D0F0D"/>
    <w:rsid w:val="004F7BC4"/>
    <w:rsid w:val="00505A6C"/>
    <w:rsid w:val="00511E70"/>
    <w:rsid w:val="00570E80"/>
    <w:rsid w:val="0059749E"/>
    <w:rsid w:val="005A0107"/>
    <w:rsid w:val="005A0DBD"/>
    <w:rsid w:val="005B147E"/>
    <w:rsid w:val="005D0737"/>
    <w:rsid w:val="005D0892"/>
    <w:rsid w:val="005F1084"/>
    <w:rsid w:val="00634BDB"/>
    <w:rsid w:val="00637D7D"/>
    <w:rsid w:val="00654050"/>
    <w:rsid w:val="00654333"/>
    <w:rsid w:val="00664325"/>
    <w:rsid w:val="0066736B"/>
    <w:rsid w:val="006732E1"/>
    <w:rsid w:val="006B50F8"/>
    <w:rsid w:val="006C3F2E"/>
    <w:rsid w:val="006D4D41"/>
    <w:rsid w:val="006E7858"/>
    <w:rsid w:val="00701856"/>
    <w:rsid w:val="007119E7"/>
    <w:rsid w:val="007241D8"/>
    <w:rsid w:val="00752B06"/>
    <w:rsid w:val="00770D55"/>
    <w:rsid w:val="00783D48"/>
    <w:rsid w:val="007B0BEA"/>
    <w:rsid w:val="007C1215"/>
    <w:rsid w:val="007C153D"/>
    <w:rsid w:val="007C6730"/>
    <w:rsid w:val="007D4166"/>
    <w:rsid w:val="007E524E"/>
    <w:rsid w:val="007F26A0"/>
    <w:rsid w:val="007F49BA"/>
    <w:rsid w:val="00822E41"/>
    <w:rsid w:val="0082370B"/>
    <w:rsid w:val="0084199F"/>
    <w:rsid w:val="00846F22"/>
    <w:rsid w:val="00856AE7"/>
    <w:rsid w:val="0087237D"/>
    <w:rsid w:val="008B7E00"/>
    <w:rsid w:val="008F0983"/>
    <w:rsid w:val="008F4382"/>
    <w:rsid w:val="00924523"/>
    <w:rsid w:val="00927194"/>
    <w:rsid w:val="009363B3"/>
    <w:rsid w:val="00942944"/>
    <w:rsid w:val="00953217"/>
    <w:rsid w:val="009657E8"/>
    <w:rsid w:val="00993073"/>
    <w:rsid w:val="00993A24"/>
    <w:rsid w:val="009A1AE6"/>
    <w:rsid w:val="009B540B"/>
    <w:rsid w:val="009F472E"/>
    <w:rsid w:val="009F5DD6"/>
    <w:rsid w:val="00A24D95"/>
    <w:rsid w:val="00A52DB1"/>
    <w:rsid w:val="00A871E5"/>
    <w:rsid w:val="00AA0DBB"/>
    <w:rsid w:val="00AA70A1"/>
    <w:rsid w:val="00AB2FED"/>
    <w:rsid w:val="00AC2679"/>
    <w:rsid w:val="00AD195B"/>
    <w:rsid w:val="00AF2976"/>
    <w:rsid w:val="00AF7C3D"/>
    <w:rsid w:val="00B10D48"/>
    <w:rsid w:val="00B237ED"/>
    <w:rsid w:val="00B32F42"/>
    <w:rsid w:val="00B77684"/>
    <w:rsid w:val="00B8494F"/>
    <w:rsid w:val="00B96880"/>
    <w:rsid w:val="00BA082F"/>
    <w:rsid w:val="00BA6F22"/>
    <w:rsid w:val="00BC01A8"/>
    <w:rsid w:val="00BD5E5F"/>
    <w:rsid w:val="00BE6356"/>
    <w:rsid w:val="00C11577"/>
    <w:rsid w:val="00C157BB"/>
    <w:rsid w:val="00C316A2"/>
    <w:rsid w:val="00C565C9"/>
    <w:rsid w:val="00C61E39"/>
    <w:rsid w:val="00C632AC"/>
    <w:rsid w:val="00CD3FC9"/>
    <w:rsid w:val="00CD77A9"/>
    <w:rsid w:val="00CE53BB"/>
    <w:rsid w:val="00CF09AD"/>
    <w:rsid w:val="00D006AA"/>
    <w:rsid w:val="00D2090C"/>
    <w:rsid w:val="00D506BA"/>
    <w:rsid w:val="00D55C58"/>
    <w:rsid w:val="00D81156"/>
    <w:rsid w:val="00D83235"/>
    <w:rsid w:val="00D84A4D"/>
    <w:rsid w:val="00D92F90"/>
    <w:rsid w:val="00DB0D81"/>
    <w:rsid w:val="00DD339B"/>
    <w:rsid w:val="00DE5122"/>
    <w:rsid w:val="00E05B15"/>
    <w:rsid w:val="00E060F8"/>
    <w:rsid w:val="00E16115"/>
    <w:rsid w:val="00E30458"/>
    <w:rsid w:val="00E3209B"/>
    <w:rsid w:val="00E32459"/>
    <w:rsid w:val="00E442A6"/>
    <w:rsid w:val="00E93A16"/>
    <w:rsid w:val="00EA2B7E"/>
    <w:rsid w:val="00EA73AE"/>
    <w:rsid w:val="00EA7E89"/>
    <w:rsid w:val="00EB7A98"/>
    <w:rsid w:val="00EE7F68"/>
    <w:rsid w:val="00EF51CB"/>
    <w:rsid w:val="00F639A5"/>
    <w:rsid w:val="00F83FA4"/>
    <w:rsid w:val="00F87695"/>
    <w:rsid w:val="00FF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colormru v:ext="edit" colors="#f6f9f1"/>
    </o:shapedefaults>
    <o:shapelayout v:ext="edit">
      <o:idmap v:ext="edit" data="1"/>
    </o:shapelayout>
  </w:shapeDefaults>
  <w:decimalSymbol w:val="."/>
  <w:listSeparator w:val=","/>
  <w14:docId w14:val="59D3178D"/>
  <w15:docId w15:val="{F46DC161-6FDE-495A-A7BC-AC055AE1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9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209B"/>
    <w:rPr>
      <w:rFonts w:ascii="Calibri" w:eastAsia="Calibri" w:hAnsi="Calibri" w:cs="Calibri"/>
      <w:lang w:val="en-GB" w:eastAsia="en-GB" w:bidi="en-GB"/>
    </w:rPr>
  </w:style>
  <w:style w:type="paragraph" w:styleId="Heading1">
    <w:name w:val="heading 1"/>
    <w:basedOn w:val="Normal"/>
    <w:uiPriority w:val="1"/>
    <w:qFormat/>
    <w:pPr>
      <w:spacing w:before="35"/>
      <w:ind w:left="651" w:right="829"/>
      <w:jc w:val="center"/>
      <w:outlineLvl w:val="0"/>
    </w:pPr>
    <w:rPr>
      <w:b/>
      <w:bCs/>
      <w:sz w:val="32"/>
      <w:szCs w:val="32"/>
    </w:rPr>
  </w:style>
  <w:style w:type="paragraph" w:styleId="Heading2">
    <w:name w:val="heading 2"/>
    <w:basedOn w:val="Normal"/>
    <w:link w:val="Heading2Char"/>
    <w:uiPriority w:val="1"/>
    <w:qFormat/>
    <w:pPr>
      <w:ind w:left="120"/>
      <w:outlineLvl w:val="1"/>
    </w:pPr>
    <w:rPr>
      <w:b/>
      <w:bCs/>
      <w:sz w:val="26"/>
      <w:szCs w:val="26"/>
    </w:rPr>
  </w:style>
  <w:style w:type="paragraph" w:styleId="Heading5">
    <w:name w:val="heading 5"/>
    <w:basedOn w:val="Normal"/>
    <w:next w:val="Normal"/>
    <w:link w:val="Heading5Char"/>
    <w:uiPriority w:val="9"/>
    <w:semiHidden/>
    <w:unhideWhenUsed/>
    <w:qFormat/>
    <w:rsid w:val="0006776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4"/>
      <w:szCs w:val="24"/>
    </w:rPr>
  </w:style>
  <w:style w:type="paragraph" w:styleId="ListParagraph">
    <w:name w:val="List Paragraph"/>
    <w:basedOn w:val="Normal"/>
    <w:uiPriority w:val="34"/>
    <w:qFormat/>
    <w:pPr>
      <w:ind w:left="3361" w:hanging="361"/>
    </w:pPr>
  </w:style>
  <w:style w:type="paragraph" w:customStyle="1" w:styleId="TableParagraph">
    <w:name w:val="Table Paragraph"/>
    <w:basedOn w:val="Normal"/>
    <w:uiPriority w:val="1"/>
    <w:qFormat/>
  </w:style>
  <w:style w:type="paragraph" w:styleId="Subtitle">
    <w:name w:val="Subtitle"/>
    <w:next w:val="BodyText"/>
    <w:link w:val="SubtitleChar"/>
    <w:uiPriority w:val="11"/>
    <w:qFormat/>
    <w:rsid w:val="004D0F0D"/>
    <w:pPr>
      <w:numPr>
        <w:ilvl w:val="1"/>
      </w:numPr>
      <w:spacing w:before="240" w:after="120" w:line="276" w:lineRule="auto"/>
      <w:ind w:firstLine="113"/>
      <w:jc w:val="center"/>
    </w:pPr>
    <w:rPr>
      <w:rFonts w:ascii="Arial" w:eastAsiaTheme="majorEastAsia" w:hAnsi="Arial" w:cstheme="majorBidi"/>
      <w:iCs/>
      <w:spacing w:val="15"/>
      <w:sz w:val="24"/>
      <w:szCs w:val="24"/>
      <w:lang w:val="en-GB"/>
    </w:rPr>
  </w:style>
  <w:style w:type="character" w:customStyle="1" w:styleId="SubtitleChar">
    <w:name w:val="Subtitle Char"/>
    <w:basedOn w:val="DefaultParagraphFont"/>
    <w:link w:val="Subtitle"/>
    <w:uiPriority w:val="11"/>
    <w:rsid w:val="004D0F0D"/>
    <w:rPr>
      <w:rFonts w:ascii="Arial" w:eastAsiaTheme="majorEastAsia" w:hAnsi="Arial" w:cstheme="majorBidi"/>
      <w:iCs/>
      <w:spacing w:val="15"/>
      <w:sz w:val="24"/>
      <w:szCs w:val="24"/>
      <w:lang w:val="en-GB"/>
    </w:rPr>
  </w:style>
  <w:style w:type="character" w:styleId="Strong">
    <w:name w:val="Strong"/>
    <w:basedOn w:val="DefaultParagraphFont"/>
    <w:uiPriority w:val="22"/>
    <w:qFormat/>
    <w:rsid w:val="004D0F0D"/>
    <w:rPr>
      <w:b/>
      <w:bCs/>
    </w:rPr>
  </w:style>
  <w:style w:type="character" w:styleId="Hyperlink">
    <w:name w:val="Hyperlink"/>
    <w:basedOn w:val="DefaultParagraphFont"/>
    <w:uiPriority w:val="99"/>
    <w:unhideWhenUsed/>
    <w:rsid w:val="004D0F0D"/>
    <w:rPr>
      <w:color w:val="0000FF" w:themeColor="hyperlink"/>
      <w:u w:val="single"/>
    </w:rPr>
  </w:style>
  <w:style w:type="character" w:customStyle="1" w:styleId="color15">
    <w:name w:val="color_15"/>
    <w:basedOn w:val="DefaultParagraphFont"/>
    <w:rsid w:val="004D0F0D"/>
  </w:style>
  <w:style w:type="character" w:styleId="UnresolvedMention">
    <w:name w:val="Unresolved Mention"/>
    <w:basedOn w:val="DefaultParagraphFont"/>
    <w:uiPriority w:val="99"/>
    <w:semiHidden/>
    <w:unhideWhenUsed/>
    <w:rsid w:val="00D81156"/>
    <w:rPr>
      <w:color w:val="605E5C"/>
      <w:shd w:val="clear" w:color="auto" w:fill="E1DFDD"/>
    </w:rPr>
  </w:style>
  <w:style w:type="character" w:customStyle="1" w:styleId="BodyTextChar">
    <w:name w:val="Body Text Char"/>
    <w:basedOn w:val="DefaultParagraphFont"/>
    <w:link w:val="BodyText"/>
    <w:uiPriority w:val="1"/>
    <w:rsid w:val="00783D48"/>
    <w:rPr>
      <w:rFonts w:ascii="Calibri" w:eastAsia="Calibri" w:hAnsi="Calibri" w:cs="Calibri"/>
      <w:sz w:val="24"/>
      <w:szCs w:val="24"/>
      <w:lang w:val="en-GB" w:eastAsia="en-GB" w:bidi="en-GB"/>
    </w:rPr>
  </w:style>
  <w:style w:type="character" w:styleId="FollowedHyperlink">
    <w:name w:val="FollowedHyperlink"/>
    <w:basedOn w:val="DefaultParagraphFont"/>
    <w:uiPriority w:val="99"/>
    <w:semiHidden/>
    <w:unhideWhenUsed/>
    <w:rsid w:val="006B50F8"/>
    <w:rPr>
      <w:color w:val="800080" w:themeColor="followedHyperlink"/>
      <w:u w:val="single"/>
    </w:rPr>
  </w:style>
  <w:style w:type="character" w:customStyle="1" w:styleId="Heading2Char">
    <w:name w:val="Heading 2 Char"/>
    <w:basedOn w:val="DefaultParagraphFont"/>
    <w:link w:val="Heading2"/>
    <w:uiPriority w:val="1"/>
    <w:rsid w:val="0082370B"/>
    <w:rPr>
      <w:rFonts w:ascii="Calibri" w:eastAsia="Calibri" w:hAnsi="Calibri" w:cs="Calibri"/>
      <w:b/>
      <w:bCs/>
      <w:sz w:val="26"/>
      <w:szCs w:val="26"/>
      <w:lang w:val="en-GB" w:eastAsia="en-GB" w:bidi="en-GB"/>
    </w:rPr>
  </w:style>
  <w:style w:type="character" w:customStyle="1" w:styleId="Heading5Char">
    <w:name w:val="Heading 5 Char"/>
    <w:basedOn w:val="DefaultParagraphFont"/>
    <w:link w:val="Heading5"/>
    <w:uiPriority w:val="9"/>
    <w:semiHidden/>
    <w:rsid w:val="00067766"/>
    <w:rPr>
      <w:rFonts w:asciiTheme="majorHAnsi" w:eastAsiaTheme="majorEastAsia" w:hAnsiTheme="majorHAnsi" w:cstheme="majorBidi"/>
      <w:color w:val="365F91" w:themeColor="accent1" w:themeShade="BF"/>
      <w:lang w:val="en-GB" w:eastAsia="en-GB" w:bidi="en-GB"/>
    </w:rPr>
  </w:style>
  <w:style w:type="paragraph" w:customStyle="1" w:styleId="text-justify">
    <w:name w:val="text-justify"/>
    <w:basedOn w:val="Normal"/>
    <w:rsid w:val="00067766"/>
    <w:pPr>
      <w:spacing w:before="100" w:beforeAutospacing="1" w:after="100" w:afterAutospacing="1"/>
      <w:ind w:right="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4412">
      <w:bodyDiv w:val="1"/>
      <w:marLeft w:val="0"/>
      <w:marRight w:val="0"/>
      <w:marTop w:val="0"/>
      <w:marBottom w:val="0"/>
      <w:divBdr>
        <w:top w:val="none" w:sz="0" w:space="0" w:color="auto"/>
        <w:left w:val="none" w:sz="0" w:space="0" w:color="auto"/>
        <w:bottom w:val="none" w:sz="0" w:space="0" w:color="auto"/>
        <w:right w:val="none" w:sz="0" w:space="0" w:color="auto"/>
      </w:divBdr>
    </w:div>
    <w:div w:id="317150374">
      <w:bodyDiv w:val="1"/>
      <w:marLeft w:val="0"/>
      <w:marRight w:val="0"/>
      <w:marTop w:val="0"/>
      <w:marBottom w:val="0"/>
      <w:divBdr>
        <w:top w:val="none" w:sz="0" w:space="0" w:color="auto"/>
        <w:left w:val="none" w:sz="0" w:space="0" w:color="auto"/>
        <w:bottom w:val="none" w:sz="0" w:space="0" w:color="auto"/>
        <w:right w:val="none" w:sz="0" w:space="0" w:color="auto"/>
      </w:divBdr>
    </w:div>
    <w:div w:id="620382726">
      <w:bodyDiv w:val="1"/>
      <w:marLeft w:val="0"/>
      <w:marRight w:val="0"/>
      <w:marTop w:val="0"/>
      <w:marBottom w:val="0"/>
      <w:divBdr>
        <w:top w:val="none" w:sz="0" w:space="0" w:color="auto"/>
        <w:left w:val="none" w:sz="0" w:space="0" w:color="auto"/>
        <w:bottom w:val="none" w:sz="0" w:space="0" w:color="auto"/>
        <w:right w:val="none" w:sz="0" w:space="0" w:color="auto"/>
      </w:divBdr>
    </w:div>
    <w:div w:id="944771141">
      <w:bodyDiv w:val="1"/>
      <w:marLeft w:val="0"/>
      <w:marRight w:val="0"/>
      <w:marTop w:val="0"/>
      <w:marBottom w:val="0"/>
      <w:divBdr>
        <w:top w:val="none" w:sz="0" w:space="0" w:color="auto"/>
        <w:left w:val="none" w:sz="0" w:space="0" w:color="auto"/>
        <w:bottom w:val="none" w:sz="0" w:space="0" w:color="auto"/>
        <w:right w:val="none" w:sz="0" w:space="0" w:color="auto"/>
      </w:divBdr>
    </w:div>
    <w:div w:id="1123690645">
      <w:bodyDiv w:val="1"/>
      <w:marLeft w:val="0"/>
      <w:marRight w:val="0"/>
      <w:marTop w:val="0"/>
      <w:marBottom w:val="0"/>
      <w:divBdr>
        <w:top w:val="none" w:sz="0" w:space="0" w:color="auto"/>
        <w:left w:val="none" w:sz="0" w:space="0" w:color="auto"/>
        <w:bottom w:val="none" w:sz="0" w:space="0" w:color="auto"/>
        <w:right w:val="none" w:sz="0" w:space="0" w:color="auto"/>
      </w:divBdr>
    </w:div>
    <w:div w:id="1127822593">
      <w:bodyDiv w:val="1"/>
      <w:marLeft w:val="0"/>
      <w:marRight w:val="0"/>
      <w:marTop w:val="0"/>
      <w:marBottom w:val="0"/>
      <w:divBdr>
        <w:top w:val="none" w:sz="0" w:space="0" w:color="auto"/>
        <w:left w:val="none" w:sz="0" w:space="0" w:color="auto"/>
        <w:bottom w:val="none" w:sz="0" w:space="0" w:color="auto"/>
        <w:right w:val="none" w:sz="0" w:space="0" w:color="auto"/>
      </w:divBdr>
    </w:div>
    <w:div w:id="202666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ma.org" TargetMode="External"/><Relationship Id="rId13" Type="http://schemas.openxmlformats.org/officeDocument/2006/relationships/hyperlink" Target="https://docs.preqin.com/reports/Preqin-Alternatives-in-2020-Report.pdf" TargetMode="External"/><Relationship Id="rId18" Type="http://schemas.openxmlformats.org/officeDocument/2006/relationships/hyperlink" Target="http://www.projectfinanceexchange.com/submitproject" TargetMode="External"/><Relationship Id="rId26" Type="http://schemas.openxmlformats.org/officeDocument/2006/relationships/hyperlink" Target="http://www.projectfinanceexchange.com/" TargetMode="External"/><Relationship Id="rId3" Type="http://schemas.openxmlformats.org/officeDocument/2006/relationships/settings" Target="settings.xml"/><Relationship Id="rId21" Type="http://schemas.openxmlformats.org/officeDocument/2006/relationships/hyperlink" Target="http://www.projectfinanceexchange.com/faqs" TargetMode="External"/><Relationship Id="rId7" Type="http://schemas.openxmlformats.org/officeDocument/2006/relationships/hyperlink" Target="https://www.thinkingaheadinstitute.org/news/article/global-asset-manager-aum-tops-us100-trillion-for-the-first-time/" TargetMode="External"/><Relationship Id="rId12" Type="http://schemas.openxmlformats.org/officeDocument/2006/relationships/hyperlink" Target="https://www.pionline.com/private-equity/big-jump-private-equity-aum-expected-over-next-5-years" TargetMode="External"/><Relationship Id="rId17" Type="http://schemas.openxmlformats.org/officeDocument/2006/relationships/hyperlink" Target="http://www.projectfinanceexchange.com/investors"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orldwealthreport.com/reports/hnwi-wealth/global/" TargetMode="External"/><Relationship Id="rId20" Type="http://schemas.openxmlformats.org/officeDocument/2006/relationships/hyperlink" Target="mailto:media@projectfinanceexchange.com" TargetMode="External"/><Relationship Id="rId1" Type="http://schemas.openxmlformats.org/officeDocument/2006/relationships/numbering" Target="numbering.xml"/><Relationship Id="rId6" Type="http://schemas.openxmlformats.org/officeDocument/2006/relationships/hyperlink" Target="https://www.projectfinanceexchange.com/Services/Invictus" TargetMode="External"/><Relationship Id="rId11" Type="http://schemas.openxmlformats.org/officeDocument/2006/relationships/hyperlink" Target="https://www.campdenfb.com/article/global-family-office-growth-soars-manages-59-trillion" TargetMode="External"/><Relationship Id="rId24" Type="http://schemas.openxmlformats.org/officeDocument/2006/relationships/hyperlink" Target="https://www.linkedin.com/company/project-finance-exchange-pfx/" TargetMode="External"/><Relationship Id="rId5" Type="http://schemas.openxmlformats.org/officeDocument/2006/relationships/image" Target="media/image1.png"/><Relationship Id="rId15" Type="http://schemas.openxmlformats.org/officeDocument/2006/relationships/hyperlink" Target="https://worldwealthreport.com/reports/asset-allocation/global/" TargetMode="External"/><Relationship Id="rId23" Type="http://schemas.openxmlformats.org/officeDocument/2006/relationships/hyperlink" Target="https://www.projectfinanceexchange.com/Public/Articles/pdi_feb_2021" TargetMode="External"/><Relationship Id="rId28" Type="http://schemas.openxmlformats.org/officeDocument/2006/relationships/theme" Target="theme/theme1.xml"/><Relationship Id="rId10" Type="http://schemas.openxmlformats.org/officeDocument/2006/relationships/hyperlink" Target="https://www.evestment.com/news/hedge-fund-industry-begins-2021-with-net-inflows/" TargetMode="External"/><Relationship Id="rId19" Type="http://schemas.openxmlformats.org/officeDocument/2006/relationships/hyperlink" Target="https://www.projectfinanceexchange.com/Articles" TargetMode="External"/><Relationship Id="rId4" Type="http://schemas.openxmlformats.org/officeDocument/2006/relationships/webSettings" Target="webSettings.xml"/><Relationship Id="rId9" Type="http://schemas.openxmlformats.org/officeDocument/2006/relationships/hyperlink" Target="https://www.hedgefundassoc.org/about_hedge_funds/" TargetMode="External"/><Relationship Id="rId14" Type="http://schemas.openxmlformats.org/officeDocument/2006/relationships/hyperlink" Target="https://pitchbook.com/platform-data/funds" TargetMode="External"/><Relationship Id="rId22" Type="http://schemas.openxmlformats.org/officeDocument/2006/relationships/hyperlink" Target="https://projectfinanceexchange.com/pfxupdat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Rose</dc:creator>
  <cp:lastModifiedBy>David Rose</cp:lastModifiedBy>
  <cp:revision>147</cp:revision>
  <cp:lastPrinted>2021-07-26T08:09:00Z</cp:lastPrinted>
  <dcterms:created xsi:type="dcterms:W3CDTF">2020-09-04T12:37:00Z</dcterms:created>
  <dcterms:modified xsi:type="dcterms:W3CDTF">2024-03-28T09:19:00Z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Creator">
    <vt:lpwstr>Microsoft® Word 2013</vt:lpwstr>
  </property>
  <property fmtid="{D5CDD505-2E9C-101B-9397-08002B2CF9AE}" pid="4" name="LastSaved">
    <vt:filetime>2020-09-04T00:00:00Z</vt:filetime>
  </property>
</Properties>
</file>